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09" w:rsidRPr="00665B09" w:rsidRDefault="00665B09">
      <w:pPr>
        <w:rPr>
          <w:b/>
        </w:rPr>
      </w:pPr>
      <w:r w:rsidRPr="00665B09">
        <w:rPr>
          <w:b/>
        </w:rPr>
        <w:t>Top 10 Operational Risks for 2017</w:t>
      </w:r>
    </w:p>
    <w:p w:rsidR="00665B09" w:rsidRDefault="00665B09" w:rsidP="00665B09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4" w:history="1">
        <w:r>
          <w:rPr>
            <w:rStyle w:val="a3"/>
          </w:rPr>
          <w:t>http://www.risk.net/risk-magazine/feature/2480528/top-10-operational-risks-for-2017</w:t>
        </w:r>
      </w:hyperlink>
    </w:p>
    <w:p w:rsidR="008929FF" w:rsidRDefault="008929FF" w:rsidP="00665B09">
      <w:pPr>
        <w:pStyle w:val="a4"/>
        <w:rPr>
          <w:rFonts w:ascii="Arial" w:hAnsi="Arial" w:cs="Arial"/>
          <w:color w:val="494848"/>
          <w:sz w:val="18"/>
          <w:szCs w:val="18"/>
        </w:rPr>
      </w:pPr>
      <w:bookmarkStart w:id="0" w:name="_GoBack"/>
      <w:bookmarkEnd w:id="0"/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5" w:anchor="risk1" w:history="1">
        <w:r>
          <w:rPr>
            <w:rStyle w:val="a3"/>
            <w:sz w:val="20"/>
            <w:szCs w:val="20"/>
          </w:rPr>
          <w:t>#1 Cyber risk and data security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Кібер-ризик і безпека даних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6" w:anchor="risk2" w:history="1">
        <w:r>
          <w:rPr>
            <w:rStyle w:val="a3"/>
            <w:sz w:val="20"/>
            <w:szCs w:val="20"/>
          </w:rPr>
          <w:t>#2 Regulation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Регулювання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7" w:anchor="risk3" w:history="1">
        <w:r>
          <w:rPr>
            <w:rStyle w:val="a3"/>
            <w:sz w:val="20"/>
            <w:szCs w:val="20"/>
          </w:rPr>
          <w:t>#3 Outsourcing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Аутсорсинг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8" w:anchor="risk4" w:history="1">
        <w:r>
          <w:rPr>
            <w:rStyle w:val="a3"/>
            <w:sz w:val="20"/>
            <w:szCs w:val="20"/>
          </w:rPr>
          <w:t>#4 Geopolitical risk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Геополітичний ризик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9" w:anchor="risk5" w:history="1">
        <w:r>
          <w:rPr>
            <w:rStyle w:val="a3"/>
            <w:sz w:val="20"/>
            <w:szCs w:val="20"/>
          </w:rPr>
          <w:t>#5 Conduct risk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Ризик професійної поведінки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10" w:anchor="risk6" w:history="1">
        <w:r>
          <w:rPr>
            <w:rStyle w:val="a3"/>
            <w:sz w:val="20"/>
            <w:szCs w:val="20"/>
          </w:rPr>
          <w:t>#6 Organisational change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Організаційна зміна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11" w:anchor="risk7" w:history="1">
        <w:r>
          <w:rPr>
            <w:rStyle w:val="a3"/>
            <w:sz w:val="20"/>
            <w:szCs w:val="20"/>
          </w:rPr>
          <w:t>#7 IT failure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Падіння ІТ-систем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12" w:anchor="risk8" w:history="1">
        <w:r>
          <w:rPr>
            <w:rStyle w:val="a3"/>
            <w:sz w:val="20"/>
            <w:szCs w:val="20"/>
          </w:rPr>
          <w:t>#8 AML, CTF and sanctions compliance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Боротьба з відмиванням брудних коштів та фінансуванням тероризму, дотримання режиму санкцій 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13" w:anchor="risk9" w:history="1">
        <w:r>
          <w:rPr>
            <w:rStyle w:val="a3"/>
            <w:sz w:val="20"/>
            <w:szCs w:val="20"/>
          </w:rPr>
          <w:t xml:space="preserve">#9 Fraud </w:t>
        </w:r>
      </w:hyperlink>
      <w:r>
        <w:rPr>
          <w:rFonts w:ascii="Arial" w:hAnsi="Arial" w:cs="Arial"/>
          <w:color w:val="000000"/>
          <w:sz w:val="20"/>
          <w:szCs w:val="20"/>
        </w:rPr>
        <w:t>- Шахрайство</w:t>
      </w:r>
    </w:p>
    <w:p w:rsidR="008929FF" w:rsidRDefault="008929FF" w:rsidP="008929FF">
      <w:pPr>
        <w:pStyle w:val="a4"/>
        <w:rPr>
          <w:rFonts w:ascii="Arial" w:hAnsi="Arial" w:cs="Arial"/>
          <w:color w:val="494848"/>
          <w:sz w:val="18"/>
          <w:szCs w:val="18"/>
        </w:rPr>
      </w:pPr>
      <w:hyperlink r:id="rId14" w:anchor="risk10" w:history="1">
        <w:r>
          <w:rPr>
            <w:rStyle w:val="a3"/>
            <w:sz w:val="20"/>
            <w:szCs w:val="20"/>
          </w:rPr>
          <w:t>#10 Physical attack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- Фізична атака</w:t>
      </w:r>
    </w:p>
    <w:p w:rsidR="00665B09" w:rsidRDefault="00665B09"/>
    <w:p w:rsidR="00665B09" w:rsidRDefault="00665B09"/>
    <w:sectPr w:rsidR="0066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9"/>
    <w:rsid w:val="001F6130"/>
    <w:rsid w:val="00665B09"/>
    <w:rsid w:val="00882862"/>
    <w:rsid w:val="008929FF"/>
    <w:rsid w:val="00B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4365E7-95DF-4CF2-81B0-2C05F5D6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B09"/>
    <w:rPr>
      <w:rFonts w:ascii="Arial" w:hAnsi="Arial" w:cs="Arial" w:hint="default"/>
      <w:color w:val="003B94"/>
      <w:sz w:val="18"/>
      <w:szCs w:val="18"/>
      <w:u w:val="single"/>
    </w:rPr>
  </w:style>
  <w:style w:type="paragraph" w:styleId="a4">
    <w:name w:val="Normal (Web)"/>
    <w:basedOn w:val="a"/>
    <w:uiPriority w:val="99"/>
    <w:semiHidden/>
    <w:unhideWhenUsed/>
    <w:rsid w:val="0066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1F61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k.net/risk-magazine/feature/2480528/top-10-operational-risks-for-2017" TargetMode="External"/><Relationship Id="rId13" Type="http://schemas.openxmlformats.org/officeDocument/2006/relationships/hyperlink" Target="http://www.risk.net/risk-magazine/feature/2480528/top-10-operational-risks-for-2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sk.net/risk-magazine/feature/2480528/top-10-operational-risks-for-2017" TargetMode="External"/><Relationship Id="rId12" Type="http://schemas.openxmlformats.org/officeDocument/2006/relationships/hyperlink" Target="http://www.risk.net/risk-magazine/feature/2480528/top-10-operational-risks-for-201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isk.net/risk-magazine/feature/2480528/top-10-operational-risks-for-2017" TargetMode="External"/><Relationship Id="rId11" Type="http://schemas.openxmlformats.org/officeDocument/2006/relationships/hyperlink" Target="http://www.risk.net/risk-magazine/feature/2480528/top-10-operational-risks-for-2017" TargetMode="External"/><Relationship Id="rId5" Type="http://schemas.openxmlformats.org/officeDocument/2006/relationships/hyperlink" Target="http://www.risk.net/risk-magazine/feature/2480528/top-10-operational-risks-for-20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isk.net/risk-magazine/feature/2480528/top-10-operational-risks-for-2017" TargetMode="External"/><Relationship Id="rId4" Type="http://schemas.openxmlformats.org/officeDocument/2006/relationships/hyperlink" Target="http://www.risk.net/risk-magazine/feature/2480528/top-10-operational-risks-for-2017" TargetMode="External"/><Relationship Id="rId9" Type="http://schemas.openxmlformats.org/officeDocument/2006/relationships/hyperlink" Target="http://www.risk.net/risk-magazine/feature/2480528/top-10-operational-risks-for-2017" TargetMode="External"/><Relationship Id="rId14" Type="http://schemas.openxmlformats.org/officeDocument/2006/relationships/hyperlink" Target="http://www.risk.net/risk-magazine/feature/2480528/top-10-operational-risks-for-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gavrylyuk</cp:lastModifiedBy>
  <cp:revision>4</cp:revision>
  <dcterms:created xsi:type="dcterms:W3CDTF">2017-01-30T11:19:00Z</dcterms:created>
  <dcterms:modified xsi:type="dcterms:W3CDTF">2017-01-30T11:32:00Z</dcterms:modified>
</cp:coreProperties>
</file>