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100" w:after="10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7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7"/>
          <w:shd w:fill="auto" w:val="clear"/>
        </w:rPr>
        <w:t xml:space="preserve">МІНІСТЕРСТВО ДОХОДІВ І ЗБОРІВ УКРАЇНИ</w:t>
      </w:r>
    </w:p>
    <w:p>
      <w:pPr>
        <w:spacing w:before="100" w:after="10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ЗАГАЛЬНОДОСТУПНИЙ ІНФОРМАЦІЙНО-ДОВІДКОВИЙ РЕСУРС "ЗІР"</w:t>
      </w:r>
    </w:p>
    <w:p>
      <w:pPr>
        <w:spacing w:before="100" w:after="10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7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7"/>
          <w:shd w:fill="auto" w:val="clear"/>
        </w:rPr>
        <w:t xml:space="preserve">ЗАПИТАННЯ-ВІДПОВІДІ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Питання: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Чи є об'єктом оподаткування особливим податком операції з видачі, передачі та погашення векселів?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Відповідь: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Відповідно до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пп. 14.1.4 п. 14.1 ст. 14 Податкового кодексу України від 02.12.2010 року N 2755-VI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(далі - ПКУ) акцизний податок - непрямий податок на споживання окремих видів товарів (продукції), визначених ПКУ як підакцизні, що включається до ціни таких товарів (продукції), а також особливий податок на операції з відчуження цінних паперів та операцій з деривативами.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Згідно із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пп. 213.1.7 п. 213.1 ст. 213 ПКУ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об'єктами оподаткування особливим податком є операції з продажу, обміну або інших способів відчуження цінних паперів, де відбувається перехід права власності на цінні папери, та операції з деривативами, крім операцій, що здійснюються на міжбанківському ринку деривативів.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 цьому до операцій, які не підлягають оподаткуванню акцизним податком, належать, зокрема, операції за участю векселедавця, заставодавця та іншої особи, що видала або урахувала ордерний або борговий цінний папір з видачі, урахування та погашення цінних паперів.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Відповідно до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Закону України від 23 лютого 2006 року N 3480-IV "Про цінні папери та фондовий ринок"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із змінами і доповненнями, під індосаментом розуміється передавальний напис на ордерному цінному папері, що посвідчує перехід прав на цінний папір та прав за цінним папером до іншої особи в установленому порядку.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Таким чином, видача векселя, урахування векселя, його погашення не є об'єктом оподаткування особливим податком згідно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пп. 213.2.4 п. 213.2 ст. 213 ПКУ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Однак операція вчинення індосаменту (передача векселя) є об'єктом оподаткування особливим податком згідно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пп. 213.1.7 п. 213.1 ст. 213 ПКУ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оскільки така операція передбачає перехід прав власності на цінний папір до іншої особи.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Такі операції оподатковуються за ставкою 1,5 відсотка від суми операції з продажу цінних паперів поза фондовою біржею, що не перебувають у біржовому реєстрі відповідно до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пп. 215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  <w:vertAlign w:val="superscript"/>
        </w:rPr>
        <w:t xml:space="preserve"> 1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.1.4 п. 215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  <w:vertAlign w:val="superscript"/>
        </w:rPr>
        <w:t xml:space="preserve"> 1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.1 ст. 215 прим. 1 ПКУ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</w:t>
      </w:r>
    </w:p>
    <w:p>
      <w:pPr>
        <w:spacing w:before="100" w:after="10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Інформаційно-довідковий департамент Міністерства доходів і зборів України</w:t>
      </w:r>
    </w:p>
    <w:p>
      <w:pPr>
        <w:spacing w:before="100" w:after="10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Відповіді на питання щодо оподаткування,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br/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митної справи та єдиного соціального внеску на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br/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загальнообов'язкове державне соціальне страхування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br/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можна отримати за телефоном 0-800-501-007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br/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безкоштовно зі стаціонарних телефонів)</w:t>
      </w:r>
    </w:p>
    <w:p>
      <w:pPr>
        <w:spacing w:before="100" w:after="10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</w:t>
      </w:r>
    </w:p>
    <w:p>
      <w:pPr>
        <w:spacing w:before="100" w:after="100" w:line="240"/>
        <w:ind w:right="0" w:left="0" w:firstLine="0"/>
        <w:jc w:val="right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Всеукраїнська мережа ЛІГА:ЗАКОН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br/>
      </w:r>
      <w:hyperlink xmlns:r="http://schemas.openxmlformats.org/officeDocument/2006/relationships" r:id="docRId0">
        <w:r>
          <w:rPr>
            <w:rFonts w:ascii="Times New Roman" w:hAnsi="Times New Roman" w:cs="Times New Roman" w:eastAsia="Times New Roman"/>
            <w:b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www.ligazakon.ua</w:t>
        </w:r>
      </w:hyperlink>
    </w:p>
    <w:p>
      <w:pPr>
        <w:spacing w:before="100" w:after="10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</w:t>
      </w:r>
    </w:p>
    <w:p>
      <w:pPr>
        <w:spacing w:before="100" w:after="10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____________</w:t>
      </w:r>
    </w:p>
    <w:p>
      <w:pPr>
        <w:spacing w:before="100" w:after="10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0"/>
          <w:shd w:fill="auto" w:val="clear"/>
        </w:rPr>
        <w:t xml:space="preserve">Матеріали ресурсу "ЗІР" представлені у системах ЛІГА:ЗАКОН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br/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0"/>
          <w:shd w:fill="auto" w:val="clear"/>
        </w:rPr>
        <w:t xml:space="preserve">за погодженням з Міністерством доходів і зборів України (zir.minrd.gov.ua)</w:t>
      </w:r>
    </w:p>
    <w:p>
      <w:pPr>
        <w:spacing w:before="100" w:after="10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0"/>
          <w:shd w:fill="auto" w:val="clear"/>
        </w:rPr>
        <w:t xml:space="preserve"> </w:t>
      </w:r>
    </w:p>
    <w:p>
      <w:pPr>
        <w:spacing w:before="100" w:after="10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0"/>
          <w:shd w:fill="auto" w:val="clear"/>
        </w:rPr>
        <w:t xml:space="preserve">Матеріали, розміщені в системах інформаційно-правового забезпечення ЛІГА:ЗАКОН,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br/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0"/>
          <w:shd w:fill="auto" w:val="clear"/>
        </w:rPr>
        <w:t xml:space="preserve">не можуть бути використані в будь-яких інших електронних базах або друкованих виданнях.</w:t>
      </w:r>
    </w:p>
    <w:p>
      <w:pPr>
        <w:spacing w:before="100" w:after="10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</w:t>
      </w:r>
    </w:p>
    <w:tbl>
      <w:tblPr/>
      <w:tblGrid>
        <w:gridCol w:w="8230"/>
        <w:gridCol w:w="1215"/>
      </w:tblGrid>
      <w:tr>
        <w:trPr>
          <w:trHeight w:val="1" w:hRule="atLeast"/>
          <w:jc w:val="center"/>
        </w:trPr>
        <w:tc>
          <w:tcPr>
            <w:tcW w:w="823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7" w:type="dxa"/>
              <w:right w:w="7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©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ТОВ "Інформаційно-аналітичний центр "ЛІГА", 2014</w:t>
              <w:br/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©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ТОВ "ЛІГА ЗАКОН", 2014</w:t>
            </w:r>
          </w:p>
        </w:tc>
        <w:tc>
          <w:tcPr>
            <w:tcW w:w="121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7" w:type="dxa"/>
              <w:right w:w="7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Mode="External" Target="http://www.ligazakon.ua/?syst20/" Id="docRId0" Type="http://schemas.openxmlformats.org/officeDocument/2006/relationships/hyperlink"/><Relationship Target="numbering.xml" Id="docRId1" Type="http://schemas.openxmlformats.org/officeDocument/2006/relationships/numbering"/><Relationship Target="styles.xml" Id="docRId2" Type="http://schemas.openxmlformats.org/officeDocument/2006/relationships/styles"/></Relationships>
</file>