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7"/>
          <w:shd w:fill="auto" w:val="clear"/>
        </w:rPr>
        <w:t xml:space="preserve">МІНІСТЕРСТВО ДОХОДІВ І ЗБОРІВ УКРАЇНИ</w:t>
      </w:r>
    </w:p>
    <w:p>
      <w:pPr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ЗАГАЛЬНОДОСТУПНИЙ ІНФОРМАЦІЙНО-ДОВІДКОВИЙ РЕСУРС "ЗІР"</w:t>
      </w:r>
    </w:p>
    <w:p>
      <w:pPr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7"/>
          <w:shd w:fill="auto" w:val="clear"/>
        </w:rPr>
        <w:t xml:space="preserve">ЗАПИТАННЯ-ВІДПОВІДІ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Питання: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Хто повинен подавати 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декларацію з особливого податку на операції з відчуження цінних паперів та операції з деривативами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?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Відповідь: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Відповідно до 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пп. 212.1.9 п. 212.1 ст. 212 Податкового кодексу України від 02 грудня 2010 року N 2755-VI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зі змінами та доповненнями (далі - ПКУ), платниками особливого податку на операції з відчуження цінних паперів та операцій з деривативами (далі - особливий податок) є фізична або юридична особа - резидент або нерезидент (в тому числі їх відокремлені підрозділи), які проводять операції з деривативами або з продажу, обміну або інших способів відчуження цінних паперів, крім випадків, передбачених 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п. 213.2 ст. 213 ПКУ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 цьому особи, визначені в 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пп. 212.1.9 п. 212.1 ст. 212 ПКУ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не підлягають реєстрації як платники податку (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пп. 213.3.3 п. 213.3 ст. 213 ПКУ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).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Згідно з 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пп. 213.1.7 п. 213.1 ст. 213 ПКУ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об'єктами оподаткування є операції з продажу, обміну або інших способів відчуження цінних паперів, де відбувається перехід права власності на цінні папери, та операції з деривативами, крім операцій, що здійснюються на міжбанківському ринку деривативів.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Пунктом 214.8 ст. 214 Кодексу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встановлено, що базою оподаткування особливого податку є договірна вартість цінних паперів або деривативів, визначена у первинних бухгалтерських документах за будь-якою операцією з продажу, обміну або інших способів їх відчуження.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Відповідно до 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ст. 1 Закону України від 23 лютого 2006 року N 3480-IV "Про цінні папери та фондовий ринок"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із змінами та доповненнями (далі - Закон N 3480), розміщення цінних паперів - відчуження цінних паперів у визначений проспектом емісії цінних паперів спосіб.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термінологічному словнику "відчуження" визначається як продаж, дарування, міна (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наказ Держмитслужби від 25.06.99 N 393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).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Таким чином, операції за договорами продажу, міни, дарування є об'єктом оподаткування особливим податком.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Згідно з 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п. 216.7 ст. 216 ПКУ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датою виникнення податкових зобов'язань за операціями, визначеними в 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пп. 213.1.7 п. 213.1 ст. 213 ПКУ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є дата отримання доходу відповідно до 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п. 219.2 ст. 219 ПКУ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від операцій з продажу, обміну або інших способів відчуження цінних паперів та деривативів.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Положеннями 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п. 219.2 ст. 219 ПКУ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передбачено, що обов'язок щодо нарахування, утримання та сплати акцизного податку до бюджету від імені та за рахунок особи з доходів, що виплачуються такій особі, вести податковий облік, подавати податкову звітність контролюючим органам та нести відповідальність за порушення його норм у порядку, передбаченому ПКУ, покладений на торговця цінними паперами (ліцензіата), включаючи банк, який вважається податковим агентом.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Податковим агентом при здійсненні операцій розміщення, погашення, викупу, повторного продажу цінних паперів інститутів спільного інвестування відкритого типу є їх емітент.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Статтею 17 Закону N 3480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визначено, що професійна діяльність з торгівлі цінними паперами на фондовому ринку провадиться торговцями цінними паперами - господарськими товариствами, для яких операції з цінними паперами є виключним видом діяльності, а також банками.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Згідно з 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п. 8 ст. 17 Закону N 3480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без участі торговця цінними паперами можуть здійснюватися наступні операції: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розміщення емітентом власних цінних паперів;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викупу та продажу емітентом власних цінних паперів;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проведення розрахунків з використанням неемісійних цінних паперів;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розміщення казначейських зобов'язань України;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внесення цінних паперів до статутного (складеного) капіталу юридичних осіб;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дарування цінних паперів;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спадкування та правонаступництва цінних паперів;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вчинення правочинів, пов'язаних з виконанням судових рішень;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вчинення правочинів у процесі приватизації.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Отже, 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податкову декларацію з особливого податку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повинні подавати податкові агенти. Платники особливого податку (юридичні та фізичні особи), які здійснювали без участі торговця цінними паперами операції з відчуження цінних паперів (перелічені в 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п. 8 ст. 17 Закону N 3480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) самостійно подають декларацію, нараховують та сплачують особливий податок до бюджету.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</w:r>
    </w:p>
    <w:p>
      <w:pPr>
        <w:spacing w:before="100" w:after="10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Інформаційно-довідковий департамент Міністерства доходів і зборів України</w:t>
      </w:r>
    </w:p>
    <w:p>
      <w:pPr>
        <w:spacing w:before="100" w:after="10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Відповіді на питання щодо оподаткування,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br/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митної справи та єдиного соціального внеску на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br/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загальнообов'язкове державне соціальне страхування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br/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можна отримати за телефоном 0-800-501-007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br/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безкоштовно зі стаціонарних телефонів)</w:t>
      </w:r>
    </w:p>
    <w:p>
      <w:pPr>
        <w:spacing w:before="100" w:after="10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</w:r>
    </w:p>
    <w:p>
      <w:pPr>
        <w:spacing w:before="100" w:after="100" w:line="240"/>
        <w:ind w:right="0" w:left="0" w:firstLine="0"/>
        <w:jc w:val="right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Всеукраїнська мережа ЛІГА:ЗАКОН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br/>
      </w: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b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www.ligazakon.ua</w:t>
        </w:r>
      </w:hyperlink>
    </w:p>
    <w:p>
      <w:pPr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</w:r>
    </w:p>
    <w:p>
      <w:pPr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____________</w:t>
      </w:r>
    </w:p>
    <w:p>
      <w:pPr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Матеріали ресурсу "ЗІР" представлені у системах ЛІГА:ЗАКОН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br/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за погодженням з Міністерством доходів і зборів України (zir.minrd.gov.ua)</w:t>
      </w:r>
    </w:p>
    <w:p>
      <w:pPr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 </w:t>
      </w:r>
    </w:p>
    <w:p>
      <w:pPr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Матеріали, розміщені в системах інформаційно-правового забезпечення ЛІГА:ЗАКОН,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br/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не можуть бути використані в будь-яких інших електронних базах або друкованих виданнях.</w:t>
      </w:r>
    </w:p>
    <w:p>
      <w:pPr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</w:r>
    </w:p>
    <w:tbl>
      <w:tblPr/>
      <w:tblGrid>
        <w:gridCol w:w="8230"/>
        <w:gridCol w:w="1215"/>
      </w:tblGrid>
      <w:tr>
        <w:trPr>
          <w:trHeight w:val="1" w:hRule="atLeast"/>
          <w:jc w:val="center"/>
        </w:trPr>
        <w:tc>
          <w:tcPr>
            <w:tcW w:w="823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©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ТОВ "Інформаційно-аналітичний центр "ЛІГА", 2014</w:t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©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ТОВ "ЛІГА ЗАКОН", 2014</w:t>
            </w:r>
          </w:p>
        </w:tc>
        <w:tc>
          <w:tcPr>
            <w:tcW w:w="121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http://www.ligazakon.ua/?syst20/" Id="docRId0" Type="http://schemas.openxmlformats.org/officeDocument/2006/relationships/hyperlink"/><Relationship Target="numbering.xml" Id="docRId1" Type="http://schemas.openxmlformats.org/officeDocument/2006/relationships/numbering"/><Relationship Target="styles.xml" Id="docRId2" Type="http://schemas.openxmlformats.org/officeDocument/2006/relationships/styles"/></Relationships>
</file>