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1873"/>
        <w:gridCol w:w="885"/>
        <w:gridCol w:w="3190"/>
        <w:gridCol w:w="566"/>
      </w:tblGrid>
      <w:tr w:rsidR="00481266" w:rsidRPr="00481266" w:rsidTr="00481266">
        <w:trPr>
          <w:gridAfter w:val="1"/>
          <w:wAfter w:w="566" w:type="dxa"/>
          <w:trHeight w:val="620"/>
          <w:jc w:val="center"/>
        </w:trPr>
        <w:tc>
          <w:tcPr>
            <w:tcW w:w="3622" w:type="dxa"/>
            <w:hideMark/>
          </w:tcPr>
          <w:p w:rsidR="00B4159E" w:rsidRPr="00481266" w:rsidRDefault="00D96C3C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>05 вер</w:t>
            </w:r>
            <w:r w:rsidR="002B54B9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сня</w:t>
            </w:r>
            <w:r w:rsidR="00875D92" w:rsidRPr="00481266">
              <w:rPr>
                <w:sz w:val="28"/>
                <w:szCs w:val="28"/>
                <w:lang w:eastAsia="ru-RU"/>
              </w:rPr>
              <w:t xml:space="preserve"> 20</w:t>
            </w:r>
            <w:r>
              <w:rPr>
                <w:sz w:val="28"/>
                <w:szCs w:val="28"/>
                <w:lang w:eastAsia="ru-RU"/>
              </w:rPr>
              <w:t>22</w:t>
            </w:r>
            <w:r w:rsidR="00875D92" w:rsidRPr="00481266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gridSpan w:val="2"/>
            <w:hideMark/>
          </w:tcPr>
          <w:p w:rsidR="00B4159E" w:rsidRPr="00481266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481266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481266" w:rsidRDefault="00B4159E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 w:rsidRPr="00481266">
              <w:rPr>
                <w:sz w:val="28"/>
                <w:szCs w:val="28"/>
                <w:lang w:eastAsia="ru-RU"/>
              </w:rPr>
              <w:t xml:space="preserve">№ </w:t>
            </w:r>
            <w:r w:rsidR="00D96C3C">
              <w:rPr>
                <w:sz w:val="28"/>
                <w:szCs w:val="28"/>
                <w:lang w:eastAsia="ru-RU"/>
              </w:rPr>
              <w:t>1139</w:t>
            </w:r>
          </w:p>
        </w:tc>
      </w:tr>
      <w:tr w:rsidR="00481266" w:rsidRPr="00481266" w:rsidTr="00481266">
        <w:tblPrEx>
          <w:jc w:val="left"/>
          <w:tblLook w:val="01E0" w:firstRow="1" w:lastRow="1" w:firstColumn="1" w:lastColumn="1" w:noHBand="0" w:noVBand="0"/>
        </w:tblPrEx>
        <w:tc>
          <w:tcPr>
            <w:tcW w:w="5495" w:type="dxa"/>
            <w:gridSpan w:val="2"/>
            <w:shd w:val="clear" w:color="auto" w:fill="auto"/>
          </w:tcPr>
          <w:p w:rsidR="00481266" w:rsidRPr="00481266" w:rsidRDefault="00481266" w:rsidP="00677607">
            <w:pPr>
              <w:rPr>
                <w:sz w:val="28"/>
                <w:szCs w:val="28"/>
                <w:lang w:eastAsia="ru-RU"/>
              </w:rPr>
            </w:pPr>
          </w:p>
          <w:p w:rsidR="00481266" w:rsidRPr="00481266" w:rsidRDefault="00B8526B" w:rsidP="004C0535">
            <w:pPr>
              <w:ind w:right="990"/>
              <w:jc w:val="both"/>
              <w:rPr>
                <w:sz w:val="28"/>
                <w:szCs w:val="28"/>
              </w:rPr>
            </w:pPr>
            <w:r w:rsidRPr="00F6576D">
              <w:rPr>
                <w:rStyle w:val="HTML1"/>
                <w:sz w:val="28"/>
              </w:rPr>
              <w:t xml:space="preserve">Щодо </w:t>
            </w:r>
            <w:r w:rsidR="00BD3B9D">
              <w:rPr>
                <w:sz w:val="28"/>
                <w:szCs w:val="28"/>
              </w:rPr>
              <w:t>пруденційних нормативів професійної</w:t>
            </w:r>
            <w:r w:rsidR="00143395">
              <w:rPr>
                <w:sz w:val="28"/>
                <w:szCs w:val="28"/>
              </w:rPr>
              <w:t xml:space="preserve"> </w:t>
            </w:r>
            <w:r w:rsidR="00BD3B9D">
              <w:rPr>
                <w:sz w:val="28"/>
                <w:szCs w:val="28"/>
              </w:rPr>
              <w:t xml:space="preserve">діяльності на ринках капіталу </w:t>
            </w:r>
            <w:r w:rsidR="00BD3B9D">
              <w:rPr>
                <w:rStyle w:val="HTML1"/>
                <w:sz w:val="28"/>
              </w:rPr>
              <w:t>та організованих товарних ринк</w:t>
            </w:r>
            <w:r w:rsidR="000D390A">
              <w:rPr>
                <w:rStyle w:val="HTML1"/>
                <w:sz w:val="28"/>
              </w:rPr>
              <w:t>ах</w:t>
            </w:r>
          </w:p>
        </w:tc>
        <w:tc>
          <w:tcPr>
            <w:tcW w:w="4641" w:type="dxa"/>
            <w:gridSpan w:val="3"/>
            <w:shd w:val="clear" w:color="auto" w:fill="auto"/>
          </w:tcPr>
          <w:p w:rsidR="00481266" w:rsidRPr="00481266" w:rsidRDefault="00481266" w:rsidP="00677607">
            <w:pPr>
              <w:ind w:left="972"/>
              <w:jc w:val="both"/>
              <w:rPr>
                <w:sz w:val="28"/>
                <w:szCs w:val="28"/>
              </w:rPr>
            </w:pPr>
          </w:p>
          <w:p w:rsidR="00481266" w:rsidRPr="00481266" w:rsidRDefault="00481266" w:rsidP="00677607">
            <w:pPr>
              <w:ind w:left="452"/>
              <w:rPr>
                <w:sz w:val="28"/>
                <w:szCs w:val="28"/>
              </w:rPr>
            </w:pPr>
          </w:p>
        </w:tc>
      </w:tr>
    </w:tbl>
    <w:p w:rsidR="008511A0" w:rsidRPr="00481266" w:rsidRDefault="008511A0" w:rsidP="00481266">
      <w:pPr>
        <w:ind w:right="5499"/>
        <w:jc w:val="both"/>
        <w:rPr>
          <w:sz w:val="28"/>
          <w:szCs w:val="28"/>
        </w:rPr>
      </w:pPr>
    </w:p>
    <w:p w:rsidR="00481266" w:rsidRPr="002306A5" w:rsidRDefault="002306A5" w:rsidP="00FD1336">
      <w:pPr>
        <w:ind w:firstLine="567"/>
        <w:jc w:val="both"/>
        <w:rPr>
          <w:sz w:val="28"/>
          <w:szCs w:val="28"/>
        </w:rPr>
      </w:pPr>
      <w:r w:rsidRPr="00816239">
        <w:rPr>
          <w:sz w:val="28"/>
          <w:szCs w:val="28"/>
        </w:rPr>
        <w:t>Відповідно до</w:t>
      </w:r>
      <w:r w:rsidR="006E6C74">
        <w:rPr>
          <w:sz w:val="28"/>
          <w:szCs w:val="28"/>
        </w:rPr>
        <w:t xml:space="preserve"> статті 6,</w:t>
      </w:r>
      <w:r w:rsidR="00143395">
        <w:rPr>
          <w:sz w:val="28"/>
          <w:szCs w:val="28"/>
        </w:rPr>
        <w:t xml:space="preserve"> </w:t>
      </w:r>
      <w:r w:rsidR="00B8526B">
        <w:rPr>
          <w:rStyle w:val="fontstyle01"/>
        </w:rPr>
        <w:t>пункт</w:t>
      </w:r>
      <w:r w:rsidR="00EC701D">
        <w:rPr>
          <w:rStyle w:val="fontstyle01"/>
        </w:rPr>
        <w:t>ів</w:t>
      </w:r>
      <w:r w:rsidR="00B8526B">
        <w:rPr>
          <w:rStyle w:val="fontstyle01"/>
        </w:rPr>
        <w:t xml:space="preserve"> 37</w:t>
      </w:r>
      <w:r w:rsidR="00BD3B9D">
        <w:rPr>
          <w:rStyle w:val="fontstyle01"/>
          <w:vertAlign w:val="superscript"/>
        </w:rPr>
        <w:t>5</w:t>
      </w:r>
      <w:r w:rsidR="00EC701D">
        <w:rPr>
          <w:rStyle w:val="fontstyle01"/>
        </w:rPr>
        <w:t>,</w:t>
      </w:r>
      <w:r w:rsidR="00D8053F" w:rsidRPr="00D8053F">
        <w:rPr>
          <w:rStyle w:val="fontstyle01"/>
        </w:rPr>
        <w:t xml:space="preserve"> </w:t>
      </w:r>
      <w:r w:rsidR="00EC701D">
        <w:rPr>
          <w:rStyle w:val="fontstyle01"/>
        </w:rPr>
        <w:t>37</w:t>
      </w:r>
      <w:r w:rsidR="00EC701D">
        <w:rPr>
          <w:rStyle w:val="fontstyle01"/>
          <w:vertAlign w:val="superscript"/>
        </w:rPr>
        <w:t>26</w:t>
      </w:r>
      <w:r w:rsidR="00B8526B">
        <w:rPr>
          <w:rStyle w:val="fontstyle01"/>
        </w:rPr>
        <w:t xml:space="preserve"> частини другої статті 7,</w:t>
      </w:r>
      <w:r w:rsidR="00D8053F" w:rsidRPr="00D8053F">
        <w:rPr>
          <w:rStyle w:val="fontstyle01"/>
        </w:rPr>
        <w:t xml:space="preserve"> </w:t>
      </w:r>
      <w:r w:rsidRPr="00816239">
        <w:rPr>
          <w:sz w:val="28"/>
          <w:szCs w:val="28"/>
        </w:rPr>
        <w:t>пункту 13 статті 8 Закону України «Про державне регулювання ринків капіталу та організованих товарних ринків», у зв’язку з введенням воєнного стану відповідно до Указу Президента України від 24</w:t>
      </w:r>
      <w:r w:rsidR="005E4AC3" w:rsidRPr="00816239">
        <w:rPr>
          <w:sz w:val="28"/>
          <w:szCs w:val="28"/>
        </w:rPr>
        <w:t xml:space="preserve"> лютого </w:t>
      </w:r>
      <w:r w:rsidRPr="00816239">
        <w:rPr>
          <w:sz w:val="28"/>
          <w:szCs w:val="28"/>
        </w:rPr>
        <w:t xml:space="preserve">2022 </w:t>
      </w:r>
      <w:r w:rsidR="005E4AC3" w:rsidRPr="00816239">
        <w:rPr>
          <w:sz w:val="28"/>
          <w:szCs w:val="28"/>
        </w:rPr>
        <w:t xml:space="preserve">року </w:t>
      </w:r>
      <w:r w:rsidRPr="00816239">
        <w:rPr>
          <w:sz w:val="28"/>
          <w:szCs w:val="28"/>
        </w:rPr>
        <w:t>№ 64/2022, з метою мінімізації негативного впливу наслідків військової агресії Російської Федерації проти України та сприяння стабільності ринків ка</w:t>
      </w:r>
      <w:r w:rsidR="00816239">
        <w:rPr>
          <w:sz w:val="28"/>
          <w:szCs w:val="28"/>
        </w:rPr>
        <w:t>піталу</w:t>
      </w:r>
    </w:p>
    <w:p w:rsidR="002306A5" w:rsidRPr="00481266" w:rsidRDefault="002306A5" w:rsidP="00481266">
      <w:pPr>
        <w:ind w:firstLine="720"/>
        <w:jc w:val="both"/>
        <w:rPr>
          <w:sz w:val="28"/>
          <w:szCs w:val="28"/>
        </w:rPr>
      </w:pPr>
    </w:p>
    <w:p w:rsidR="00481266" w:rsidRPr="00481266" w:rsidRDefault="00481266" w:rsidP="00F65069">
      <w:pPr>
        <w:pStyle w:val="a7"/>
        <w:ind w:firstLine="0"/>
      </w:pPr>
      <w:r w:rsidRPr="00481266">
        <w:t xml:space="preserve">Національна комісія з цінних паперів та фондового ринку </w:t>
      </w:r>
    </w:p>
    <w:p w:rsidR="00481266" w:rsidRPr="00481266" w:rsidRDefault="00481266" w:rsidP="00764976">
      <w:pPr>
        <w:jc w:val="center"/>
        <w:rPr>
          <w:sz w:val="28"/>
          <w:szCs w:val="28"/>
        </w:rPr>
      </w:pPr>
    </w:p>
    <w:p w:rsidR="00481266" w:rsidRPr="00481266" w:rsidRDefault="00481266" w:rsidP="00481266">
      <w:pPr>
        <w:jc w:val="center"/>
        <w:rPr>
          <w:b/>
          <w:sz w:val="28"/>
        </w:rPr>
      </w:pPr>
      <w:r w:rsidRPr="00481266">
        <w:rPr>
          <w:b/>
          <w:sz w:val="28"/>
        </w:rPr>
        <w:t>В И Р І Ш И Л А:</w:t>
      </w:r>
    </w:p>
    <w:p w:rsidR="00481266" w:rsidRPr="00481266" w:rsidRDefault="00481266" w:rsidP="00481266">
      <w:pPr>
        <w:jc w:val="center"/>
        <w:rPr>
          <w:b/>
          <w:sz w:val="28"/>
        </w:rPr>
      </w:pPr>
    </w:p>
    <w:p w:rsidR="001B3AE2" w:rsidRDefault="00481266" w:rsidP="00D534A8">
      <w:pPr>
        <w:widowControl w:val="0"/>
        <w:ind w:firstLine="567"/>
        <w:jc w:val="both"/>
        <w:rPr>
          <w:sz w:val="28"/>
          <w:szCs w:val="28"/>
        </w:rPr>
      </w:pPr>
      <w:r w:rsidRPr="00481266">
        <w:rPr>
          <w:sz w:val="28"/>
          <w:szCs w:val="28"/>
        </w:rPr>
        <w:t xml:space="preserve">1. </w:t>
      </w:r>
      <w:r w:rsidR="00D534A8" w:rsidRPr="00F6576D">
        <w:rPr>
          <w:sz w:val="28"/>
          <w:szCs w:val="28"/>
        </w:rPr>
        <w:t>Встановити, що</w:t>
      </w:r>
      <w:r w:rsidR="001B3AE2">
        <w:rPr>
          <w:sz w:val="28"/>
          <w:szCs w:val="28"/>
        </w:rPr>
        <w:t>:</w:t>
      </w:r>
    </w:p>
    <w:p w:rsidR="00FB2A36" w:rsidRDefault="00D868A3" w:rsidP="00D534A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B7441">
        <w:rPr>
          <w:sz w:val="28"/>
          <w:szCs w:val="28"/>
        </w:rPr>
        <w:t xml:space="preserve">ля вимірювання та оцінки ризиків </w:t>
      </w:r>
      <w:r w:rsidRPr="003B7441">
        <w:rPr>
          <w:bCs/>
          <w:sz w:val="28"/>
          <w:szCs w:val="28"/>
        </w:rPr>
        <w:t>професійної діяльності на ринках капіталу та організованих товарних ринках</w:t>
      </w:r>
      <w:r w:rsidRPr="003B7441">
        <w:rPr>
          <w:sz w:val="28"/>
          <w:szCs w:val="28"/>
        </w:rPr>
        <w:t xml:space="preserve"> використову</w:t>
      </w:r>
      <w:r>
        <w:rPr>
          <w:sz w:val="28"/>
          <w:szCs w:val="28"/>
        </w:rPr>
        <w:t>є</w:t>
      </w:r>
      <w:r w:rsidRPr="003B7441">
        <w:rPr>
          <w:sz w:val="28"/>
          <w:szCs w:val="28"/>
        </w:rPr>
        <w:t>ться норматив ліквідності активів</w:t>
      </w:r>
      <w:r>
        <w:rPr>
          <w:sz w:val="28"/>
          <w:szCs w:val="28"/>
        </w:rPr>
        <w:t>,</w:t>
      </w:r>
      <w:r w:rsidR="00143395">
        <w:rPr>
          <w:sz w:val="28"/>
          <w:szCs w:val="28"/>
        </w:rPr>
        <w:t xml:space="preserve"> </w:t>
      </w:r>
      <w:r w:rsidR="00223C60">
        <w:rPr>
          <w:sz w:val="28"/>
          <w:szCs w:val="28"/>
        </w:rPr>
        <w:t xml:space="preserve">який </w:t>
      </w:r>
      <w:r w:rsidR="00223C60" w:rsidRPr="003B7441">
        <w:rPr>
          <w:sz w:val="28"/>
          <w:szCs w:val="28"/>
        </w:rPr>
        <w:t>розраховується як відношення</w:t>
      </w:r>
      <w:r w:rsidR="000B1085">
        <w:rPr>
          <w:sz w:val="28"/>
          <w:szCs w:val="28"/>
        </w:rPr>
        <w:t xml:space="preserve"> різниці між</w:t>
      </w:r>
      <w:r w:rsidR="00223C60" w:rsidRPr="003B7441">
        <w:rPr>
          <w:sz w:val="28"/>
          <w:szCs w:val="28"/>
        </w:rPr>
        <w:t xml:space="preserve"> сум</w:t>
      </w:r>
      <w:r w:rsidR="000B1085">
        <w:rPr>
          <w:sz w:val="28"/>
          <w:szCs w:val="28"/>
        </w:rPr>
        <w:t>ою</w:t>
      </w:r>
      <w:r w:rsidR="00223C60" w:rsidRPr="003B7441">
        <w:rPr>
          <w:sz w:val="28"/>
          <w:szCs w:val="28"/>
        </w:rPr>
        <w:t xml:space="preserve"> активів установи у вигляді грошових коштів</w:t>
      </w:r>
      <w:r w:rsidR="00223C60">
        <w:rPr>
          <w:sz w:val="28"/>
          <w:szCs w:val="28"/>
        </w:rPr>
        <w:t>,</w:t>
      </w:r>
      <w:r w:rsidR="00223C60" w:rsidRPr="003B7441">
        <w:rPr>
          <w:sz w:val="28"/>
          <w:szCs w:val="28"/>
        </w:rPr>
        <w:t xml:space="preserve"> державн</w:t>
      </w:r>
      <w:r w:rsidR="00223C60">
        <w:rPr>
          <w:sz w:val="28"/>
          <w:szCs w:val="28"/>
        </w:rPr>
        <w:t>их</w:t>
      </w:r>
      <w:r w:rsidR="00223C60" w:rsidRPr="003B7441">
        <w:rPr>
          <w:sz w:val="28"/>
          <w:szCs w:val="28"/>
        </w:rPr>
        <w:t xml:space="preserve"> облігацій</w:t>
      </w:r>
      <w:r w:rsidR="00223C60">
        <w:rPr>
          <w:sz w:val="28"/>
          <w:szCs w:val="28"/>
        </w:rPr>
        <w:t xml:space="preserve"> України </w:t>
      </w:r>
      <w:r w:rsidR="000B1085">
        <w:rPr>
          <w:sz w:val="28"/>
          <w:szCs w:val="28"/>
        </w:rPr>
        <w:t>та зобов</w:t>
      </w:r>
      <w:r w:rsidR="000B1085" w:rsidRPr="00816239">
        <w:rPr>
          <w:sz w:val="28"/>
          <w:szCs w:val="28"/>
        </w:rPr>
        <w:t>’</w:t>
      </w:r>
      <w:r w:rsidR="000B1085">
        <w:rPr>
          <w:sz w:val="28"/>
          <w:szCs w:val="28"/>
        </w:rPr>
        <w:t>язаннями установи</w:t>
      </w:r>
      <w:r w:rsidR="00143395">
        <w:rPr>
          <w:sz w:val="28"/>
          <w:szCs w:val="28"/>
        </w:rPr>
        <w:t xml:space="preserve"> </w:t>
      </w:r>
      <w:r w:rsidR="00223C60" w:rsidRPr="003B7441">
        <w:rPr>
          <w:sz w:val="28"/>
          <w:szCs w:val="28"/>
        </w:rPr>
        <w:t xml:space="preserve">до мінімального розміру початкового капіталу, встановленого законодавством для відповідного виду професійної діяльності на ринках капіталу та організованих товарних ринках, </w:t>
      </w:r>
      <w:r w:rsidRPr="003B7441">
        <w:rPr>
          <w:sz w:val="28"/>
          <w:szCs w:val="28"/>
        </w:rPr>
        <w:t>за формулою</w:t>
      </w:r>
    </w:p>
    <w:p w:rsidR="00D868A3" w:rsidRPr="00D868A3" w:rsidRDefault="00D868A3" w:rsidP="00D868A3">
      <w:pPr>
        <w:ind w:firstLine="708"/>
        <w:jc w:val="both"/>
        <w:rPr>
          <w:noProof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36"/>
      </w:tblGrid>
      <w:tr w:rsidR="00D868A3" w:rsidRPr="00D868A3" w:rsidTr="000B1085">
        <w:trPr>
          <w:trHeight w:val="341"/>
          <w:jc w:val="center"/>
        </w:trPr>
        <w:tc>
          <w:tcPr>
            <w:tcW w:w="4536" w:type="dxa"/>
          </w:tcPr>
          <w:p w:rsidR="00D868A3" w:rsidRPr="00D868A3" w:rsidRDefault="00D868A3" w:rsidP="00543034">
            <w:pPr>
              <w:jc w:val="center"/>
              <w:rPr>
                <w:noProof/>
                <w:color w:val="000000"/>
                <w:sz w:val="28"/>
                <w:szCs w:val="28"/>
                <w:u w:val="single"/>
                <w:lang w:val="ru-RU"/>
              </w:rPr>
            </w:pPr>
            <w:r w:rsidRPr="00D868A3">
              <w:rPr>
                <w:noProof/>
                <w:sz w:val="28"/>
                <w:szCs w:val="28"/>
                <w:u w:val="single"/>
              </w:rPr>
              <w:t>ГК + ОВДП</w:t>
            </w:r>
            <w:r w:rsidR="00DC5FE4">
              <w:rPr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 w:rsidR="004C0535">
              <w:rPr>
                <w:noProof/>
                <w:sz w:val="28"/>
                <w:szCs w:val="28"/>
                <w:u w:val="single"/>
              </w:rPr>
              <w:t>+</w:t>
            </w:r>
            <w:r w:rsidR="00DC5FE4">
              <w:rPr>
                <w:noProof/>
                <w:sz w:val="28"/>
                <w:szCs w:val="28"/>
                <w:u w:val="single"/>
                <w:lang w:val="en-US"/>
              </w:rPr>
              <w:t xml:space="preserve"> </w:t>
            </w:r>
            <w:r w:rsidR="004C0535">
              <w:rPr>
                <w:noProof/>
                <w:sz w:val="28"/>
                <w:szCs w:val="28"/>
                <w:u w:val="single"/>
              </w:rPr>
              <w:t>ОЗДП</w:t>
            </w:r>
            <w:r w:rsidR="000B1085">
              <w:rPr>
                <w:noProof/>
                <w:sz w:val="28"/>
                <w:szCs w:val="28"/>
                <w:u w:val="single"/>
              </w:rPr>
              <w:t xml:space="preserve"> – ЗБ</w:t>
            </w:r>
          </w:p>
        </w:tc>
      </w:tr>
      <w:tr w:rsidR="00D868A3" w:rsidRPr="00D868A3" w:rsidTr="000B1085">
        <w:trPr>
          <w:trHeight w:val="341"/>
          <w:jc w:val="center"/>
        </w:trPr>
        <w:tc>
          <w:tcPr>
            <w:tcW w:w="4536" w:type="dxa"/>
          </w:tcPr>
          <w:p w:rsidR="00D868A3" w:rsidRPr="00D868A3" w:rsidRDefault="00D868A3" w:rsidP="00D868A3">
            <w:pPr>
              <w:jc w:val="center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D868A3">
              <w:rPr>
                <w:noProof/>
                <w:sz w:val="28"/>
                <w:szCs w:val="28"/>
              </w:rPr>
              <w:t>ПК</w:t>
            </w:r>
          </w:p>
        </w:tc>
      </w:tr>
    </w:tbl>
    <w:p w:rsidR="00D868A3" w:rsidRPr="00D868A3" w:rsidRDefault="00D868A3" w:rsidP="00D868A3">
      <w:pPr>
        <w:ind w:firstLine="708"/>
        <w:jc w:val="both"/>
        <w:rPr>
          <w:noProof/>
          <w:sz w:val="28"/>
          <w:szCs w:val="28"/>
        </w:rPr>
      </w:pPr>
      <w:r w:rsidRPr="00D868A3">
        <w:rPr>
          <w:noProof/>
          <w:sz w:val="28"/>
          <w:szCs w:val="28"/>
        </w:rPr>
        <w:t>де</w:t>
      </w:r>
    </w:p>
    <w:p w:rsidR="00D868A3" w:rsidRPr="00F6576D" w:rsidRDefault="00D868A3" w:rsidP="00D534A8">
      <w:pPr>
        <w:widowControl w:val="0"/>
        <w:ind w:firstLine="567"/>
        <w:jc w:val="both"/>
        <w:rPr>
          <w:sz w:val="28"/>
          <w:szCs w:val="28"/>
        </w:rPr>
      </w:pPr>
    </w:p>
    <w:p w:rsidR="00D868A3" w:rsidRPr="00DC5FE4" w:rsidRDefault="00D868A3" w:rsidP="004C0535">
      <w:pPr>
        <w:ind w:firstLine="567"/>
        <w:jc w:val="both"/>
        <w:rPr>
          <w:noProof/>
          <w:sz w:val="28"/>
          <w:szCs w:val="28"/>
        </w:rPr>
      </w:pPr>
      <w:r w:rsidRPr="00D868A3">
        <w:rPr>
          <w:noProof/>
          <w:sz w:val="28"/>
          <w:szCs w:val="28"/>
        </w:rPr>
        <w:t>ГК – грошові кошти</w:t>
      </w:r>
      <w:r w:rsidR="00223C60">
        <w:rPr>
          <w:noProof/>
          <w:sz w:val="28"/>
          <w:szCs w:val="28"/>
        </w:rPr>
        <w:t>, що включають</w:t>
      </w:r>
      <w:r w:rsidRPr="00D868A3">
        <w:rPr>
          <w:noProof/>
          <w:sz w:val="28"/>
          <w:szCs w:val="28"/>
        </w:rPr>
        <w:t xml:space="preserve"> кошти</w:t>
      </w:r>
      <w:r w:rsidR="005571BE">
        <w:rPr>
          <w:noProof/>
          <w:sz w:val="28"/>
          <w:szCs w:val="28"/>
        </w:rPr>
        <w:t xml:space="preserve"> установи</w:t>
      </w:r>
      <w:r w:rsidRPr="00D868A3">
        <w:rPr>
          <w:noProof/>
          <w:sz w:val="28"/>
          <w:szCs w:val="28"/>
        </w:rPr>
        <w:t xml:space="preserve"> на поточних рахунках та депозити в банках</w:t>
      </w:r>
      <w:r w:rsidR="00143395">
        <w:rPr>
          <w:noProof/>
          <w:sz w:val="28"/>
          <w:szCs w:val="28"/>
        </w:rPr>
        <w:t xml:space="preserve"> </w:t>
      </w:r>
      <w:r w:rsidR="000B1085" w:rsidRPr="000B1085">
        <w:rPr>
          <w:noProof/>
          <w:sz w:val="28"/>
          <w:szCs w:val="28"/>
        </w:rPr>
        <w:t>(</w:t>
      </w:r>
      <w:r w:rsidR="000B1085" w:rsidRPr="000B1085">
        <w:rPr>
          <w:sz w:val="28"/>
          <w:szCs w:val="28"/>
          <w:shd w:val="clear" w:color="auto" w:fill="FFFFFF"/>
        </w:rPr>
        <w:t>крім банків, у яких запроваджено тимчасову адміністрацію або проводиться процедура ліквідації)</w:t>
      </w:r>
      <w:r w:rsidR="00DC5FE4">
        <w:rPr>
          <w:noProof/>
          <w:sz w:val="28"/>
          <w:szCs w:val="28"/>
        </w:rPr>
        <w:t>,</w:t>
      </w:r>
    </w:p>
    <w:p w:rsidR="00AB0802" w:rsidRDefault="00D868A3" w:rsidP="00D868A3">
      <w:pPr>
        <w:tabs>
          <w:tab w:val="left" w:pos="4664"/>
        </w:tabs>
        <w:ind w:firstLine="567"/>
        <w:jc w:val="both"/>
        <w:rPr>
          <w:noProof/>
          <w:sz w:val="28"/>
          <w:szCs w:val="28"/>
        </w:rPr>
      </w:pPr>
      <w:r w:rsidRPr="00D868A3">
        <w:rPr>
          <w:noProof/>
          <w:sz w:val="28"/>
          <w:szCs w:val="28"/>
        </w:rPr>
        <w:t>ОВДП – облігації внутрішньої державної позики України</w:t>
      </w:r>
      <w:r w:rsidR="00DC5FE4">
        <w:rPr>
          <w:noProof/>
          <w:sz w:val="28"/>
          <w:szCs w:val="28"/>
        </w:rPr>
        <w:t>,</w:t>
      </w:r>
    </w:p>
    <w:p w:rsidR="0070211C" w:rsidRDefault="0070211C" w:rsidP="00D868A3">
      <w:pPr>
        <w:tabs>
          <w:tab w:val="left" w:pos="4664"/>
        </w:tabs>
        <w:ind w:firstLine="567"/>
        <w:jc w:val="both"/>
        <w:rPr>
          <w:noProof/>
          <w:sz w:val="28"/>
          <w:szCs w:val="28"/>
        </w:rPr>
      </w:pPr>
      <w:r w:rsidRPr="0070211C">
        <w:rPr>
          <w:noProof/>
          <w:sz w:val="28"/>
          <w:szCs w:val="28"/>
        </w:rPr>
        <w:t>ОЗДП</w:t>
      </w:r>
      <w:r w:rsidR="00DC5FE4">
        <w:rPr>
          <w:noProof/>
          <w:sz w:val="28"/>
          <w:szCs w:val="28"/>
        </w:rPr>
        <w:t xml:space="preserve"> </w:t>
      </w:r>
      <w:r w:rsidRPr="00D868A3">
        <w:rPr>
          <w:noProof/>
          <w:sz w:val="28"/>
          <w:szCs w:val="28"/>
        </w:rPr>
        <w:t xml:space="preserve">– облігації </w:t>
      </w:r>
      <w:r>
        <w:rPr>
          <w:noProof/>
          <w:sz w:val="28"/>
          <w:szCs w:val="28"/>
        </w:rPr>
        <w:t>зовнішньої</w:t>
      </w:r>
      <w:r w:rsidRPr="00D868A3">
        <w:rPr>
          <w:noProof/>
          <w:sz w:val="28"/>
          <w:szCs w:val="28"/>
        </w:rPr>
        <w:t xml:space="preserve"> державної позики України</w:t>
      </w:r>
      <w:r w:rsidR="00DC5FE4">
        <w:rPr>
          <w:noProof/>
          <w:sz w:val="28"/>
          <w:szCs w:val="28"/>
        </w:rPr>
        <w:t>,</w:t>
      </w:r>
    </w:p>
    <w:p w:rsidR="000B1085" w:rsidRDefault="000B1085" w:rsidP="00687599">
      <w:pPr>
        <w:tabs>
          <w:tab w:val="left" w:pos="993"/>
          <w:tab w:val="left" w:pos="4664"/>
        </w:tabs>
        <w:ind w:firstLine="567"/>
        <w:jc w:val="both"/>
        <w:rPr>
          <w:noProof/>
          <w:sz w:val="28"/>
          <w:szCs w:val="28"/>
        </w:rPr>
      </w:pPr>
      <w:r w:rsidRPr="000B1085">
        <w:rPr>
          <w:sz w:val="28"/>
          <w:szCs w:val="28"/>
          <w:shd w:val="clear" w:color="auto" w:fill="FFFFFF"/>
        </w:rPr>
        <w:t>ЗБ – зобов’язання, що включають загальну суму зобов’язань (довгострокових та поточних), у розумінні Закону України «Про бухгалтерський облік та фінансову звітність в Україні» та стандартів бухгалтерського обліку</w:t>
      </w:r>
      <w:r w:rsidR="00DC5FE4">
        <w:rPr>
          <w:sz w:val="28"/>
          <w:szCs w:val="28"/>
          <w:shd w:val="clear" w:color="auto" w:fill="FFFFFF"/>
        </w:rPr>
        <w:t>, фінансової звітності,</w:t>
      </w:r>
    </w:p>
    <w:p w:rsidR="00707C14" w:rsidRDefault="00707C14" w:rsidP="00D868A3">
      <w:pPr>
        <w:tabs>
          <w:tab w:val="left" w:pos="4664"/>
        </w:tabs>
        <w:ind w:firstLine="567"/>
        <w:jc w:val="both"/>
        <w:rPr>
          <w:sz w:val="28"/>
          <w:szCs w:val="28"/>
        </w:rPr>
      </w:pPr>
      <w:r w:rsidRPr="003B7441">
        <w:rPr>
          <w:sz w:val="28"/>
          <w:szCs w:val="28"/>
        </w:rPr>
        <w:t>ПК – мінімальний розмір початкового капіталу, встановлений законодавством для відповідного виду професійної діяльності на ринках капіталу та організованих товарних ринках, що здійснюється установою</w:t>
      </w:r>
      <w:r w:rsidR="001B3AE2">
        <w:rPr>
          <w:sz w:val="28"/>
          <w:szCs w:val="28"/>
        </w:rPr>
        <w:t>;</w:t>
      </w:r>
    </w:p>
    <w:p w:rsidR="00707C14" w:rsidRDefault="001B3AE2" w:rsidP="00D868A3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07C14" w:rsidRPr="00707C14">
        <w:rPr>
          <w:sz w:val="28"/>
          <w:szCs w:val="28"/>
        </w:rPr>
        <w:t xml:space="preserve">ля </w:t>
      </w:r>
      <w:r w:rsidR="00707C14" w:rsidRPr="00707C14">
        <w:rPr>
          <w:rStyle w:val="aff1"/>
          <w:rFonts w:eastAsiaTheme="majorEastAsia"/>
          <w:iCs/>
          <w:color w:val="000000"/>
          <w:sz w:val="28"/>
          <w:szCs w:val="28"/>
          <w:shd w:val="clear" w:color="auto" w:fill="FFFFFF"/>
        </w:rPr>
        <w:t> </w:t>
      </w:r>
      <w:r w:rsidR="00707C14" w:rsidRPr="00707C14">
        <w:rPr>
          <w:rStyle w:val="aff1"/>
          <w:rFonts w:eastAsiaTheme="majorEastAsia"/>
          <w:i w:val="0"/>
          <w:iCs/>
          <w:color w:val="000000"/>
          <w:sz w:val="28"/>
          <w:szCs w:val="28"/>
          <w:shd w:val="clear" w:color="auto" w:fill="FFFFFF"/>
        </w:rPr>
        <w:t xml:space="preserve">інвестиційної фірми, що надає </w:t>
      </w:r>
      <w:r w:rsidR="00707C14" w:rsidRPr="00707C14">
        <w:rPr>
          <w:color w:val="000000"/>
          <w:sz w:val="28"/>
          <w:szCs w:val="28"/>
          <w:shd w:val="clear" w:color="auto" w:fill="FFFFFF"/>
        </w:rPr>
        <w:t>додаткові послуги в межах професійної діяльності з торгівлі фінансовими інструментами (</w:t>
      </w:r>
      <w:proofErr w:type="spellStart"/>
      <w:r w:rsidR="00707C14" w:rsidRPr="00707C14">
        <w:rPr>
          <w:color w:val="000000"/>
          <w:sz w:val="28"/>
          <w:szCs w:val="28"/>
          <w:shd w:val="clear" w:color="auto" w:fill="FFFFFF"/>
        </w:rPr>
        <w:t>субброкерської</w:t>
      </w:r>
      <w:proofErr w:type="spellEnd"/>
      <w:r w:rsidR="00707C14" w:rsidRPr="00707C14">
        <w:rPr>
          <w:color w:val="000000"/>
          <w:sz w:val="28"/>
          <w:szCs w:val="28"/>
          <w:shd w:val="clear" w:color="auto" w:fill="FFFFFF"/>
        </w:rPr>
        <w:t xml:space="preserve"> діяльності, брокерської діяльності та </w:t>
      </w:r>
      <w:r w:rsidR="00707C14" w:rsidRPr="00707C14">
        <w:rPr>
          <w:sz w:val="28"/>
          <w:szCs w:val="28"/>
        </w:rPr>
        <w:t>діяльності з управління портфелем фінансових інструментів),</w:t>
      </w:r>
      <w:r w:rsidR="00707C14" w:rsidRPr="00707C14">
        <w:rPr>
          <w:color w:val="000000"/>
          <w:sz w:val="28"/>
          <w:szCs w:val="28"/>
          <w:shd w:val="clear" w:color="auto" w:fill="FFFFFF"/>
        </w:rPr>
        <w:t xml:space="preserve"> а саме</w:t>
      </w:r>
      <w:r w:rsidR="00707C14" w:rsidRPr="00707C14">
        <w:rPr>
          <w:rStyle w:val="aff1"/>
          <w:rFonts w:eastAsiaTheme="majorEastAsia"/>
          <w:i w:val="0"/>
          <w:iCs/>
          <w:color w:val="000000"/>
          <w:sz w:val="28"/>
          <w:szCs w:val="28"/>
          <w:shd w:val="clear" w:color="auto" w:fill="FFFFFF"/>
        </w:rPr>
        <w:t xml:space="preserve"> здійснює діяльність щодо надання клієнтам кредитів та позик для укладення </w:t>
      </w:r>
      <w:proofErr w:type="spellStart"/>
      <w:r w:rsidR="00707C14" w:rsidRPr="00707C14">
        <w:rPr>
          <w:rStyle w:val="aff1"/>
          <w:rFonts w:eastAsiaTheme="majorEastAsia"/>
          <w:i w:val="0"/>
          <w:iCs/>
          <w:color w:val="000000"/>
          <w:sz w:val="28"/>
          <w:szCs w:val="28"/>
          <w:shd w:val="clear" w:color="auto" w:fill="FFFFFF"/>
        </w:rPr>
        <w:t>деривативних</w:t>
      </w:r>
      <w:proofErr w:type="spellEnd"/>
      <w:r w:rsidR="00707C14" w:rsidRPr="00707C14">
        <w:rPr>
          <w:rStyle w:val="aff1"/>
          <w:rFonts w:eastAsiaTheme="majorEastAsia"/>
          <w:i w:val="0"/>
          <w:iCs/>
          <w:color w:val="000000"/>
          <w:sz w:val="28"/>
          <w:szCs w:val="28"/>
          <w:shd w:val="clear" w:color="auto" w:fill="FFFFFF"/>
        </w:rPr>
        <w:t xml:space="preserve"> контрактів та вчинення правочинів щодо фінансових інструментів, </w:t>
      </w:r>
      <w:r w:rsidR="00707C14" w:rsidRPr="00707C14">
        <w:rPr>
          <w:sz w:val="28"/>
          <w:szCs w:val="28"/>
        </w:rPr>
        <w:t>величина мінімального розміру початкового капіталу, встановленого законодавством для відповідного виду діяльності в межах професійної діяльності з торгівлі фінансовими інструментами, для розрахунку нормативу ліквідності активів збільшується на 2,5 млн. грн</w:t>
      </w:r>
      <w:r>
        <w:rPr>
          <w:sz w:val="28"/>
          <w:szCs w:val="28"/>
        </w:rPr>
        <w:t>;</w:t>
      </w:r>
    </w:p>
    <w:p w:rsidR="006B5E4D" w:rsidRDefault="001B3AE2" w:rsidP="00D868A3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5E4D" w:rsidRPr="00650674">
        <w:rPr>
          <w:sz w:val="28"/>
          <w:szCs w:val="28"/>
        </w:rPr>
        <w:t>ри поєднанні установою декількох видів професійної діяльності на ринках капіталу та організованих товарних ринках</w:t>
      </w:r>
      <w:r w:rsidR="006B5E4D">
        <w:rPr>
          <w:sz w:val="28"/>
          <w:szCs w:val="28"/>
        </w:rPr>
        <w:t xml:space="preserve"> або </w:t>
      </w:r>
      <w:r w:rsidR="006B5E4D" w:rsidRPr="003B7441">
        <w:rPr>
          <w:sz w:val="28"/>
          <w:szCs w:val="28"/>
        </w:rPr>
        <w:t xml:space="preserve">провадженні </w:t>
      </w:r>
      <w:r w:rsidR="006B5E4D">
        <w:rPr>
          <w:sz w:val="28"/>
          <w:szCs w:val="28"/>
        </w:rPr>
        <w:t>установою</w:t>
      </w:r>
      <w:r w:rsidR="006B5E4D" w:rsidRPr="003B7441">
        <w:rPr>
          <w:sz w:val="28"/>
          <w:szCs w:val="28"/>
        </w:rPr>
        <w:t xml:space="preserve"> декількох видів діяльності в межах </w:t>
      </w:r>
      <w:r w:rsidR="006B5E4D">
        <w:rPr>
          <w:sz w:val="28"/>
          <w:szCs w:val="28"/>
        </w:rPr>
        <w:t xml:space="preserve">одного виду </w:t>
      </w:r>
      <w:r w:rsidR="006B5E4D" w:rsidRPr="003B7441">
        <w:rPr>
          <w:sz w:val="28"/>
          <w:szCs w:val="28"/>
        </w:rPr>
        <w:t>професійної діяльності</w:t>
      </w:r>
      <w:r w:rsidR="00143395">
        <w:rPr>
          <w:sz w:val="28"/>
          <w:szCs w:val="28"/>
        </w:rPr>
        <w:t xml:space="preserve"> </w:t>
      </w:r>
      <w:r w:rsidR="006B5E4D" w:rsidRPr="00650674">
        <w:rPr>
          <w:sz w:val="28"/>
          <w:szCs w:val="28"/>
        </w:rPr>
        <w:t>на ринках капіталу та організованих товарних ринках величина мінімального розміру початкового капіталу для розрахунку нормативу ліквідності активів є більшою з величин мінімального розміру початкового капіталу, встановлених для відповідних видів діяльності, що здійснюються установою</w:t>
      </w:r>
      <w:r>
        <w:rPr>
          <w:sz w:val="28"/>
          <w:szCs w:val="28"/>
        </w:rPr>
        <w:t>;</w:t>
      </w:r>
    </w:p>
    <w:p w:rsidR="006052AF" w:rsidRDefault="00265B62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65B62">
        <w:rPr>
          <w:sz w:val="28"/>
          <w:szCs w:val="28"/>
        </w:rPr>
        <w:t>професійні учасники ринків капіталу та організованих товарних ринків</w:t>
      </w:r>
      <w:r w:rsidRPr="00265B62">
        <w:rPr>
          <w:sz w:val="28"/>
          <w:szCs w:val="28"/>
          <w:shd w:val="clear" w:color="auto" w:fill="FFFFFF"/>
        </w:rPr>
        <w:t xml:space="preserve"> здійснюють розрахунок </w:t>
      </w:r>
      <w:r w:rsidRPr="00265B62">
        <w:rPr>
          <w:sz w:val="28"/>
          <w:szCs w:val="28"/>
        </w:rPr>
        <w:t>нормативу ліквідності активів</w:t>
      </w:r>
      <w:r w:rsidRPr="00265B62">
        <w:rPr>
          <w:sz w:val="28"/>
          <w:szCs w:val="28"/>
          <w:shd w:val="clear" w:color="auto" w:fill="FFFFFF"/>
        </w:rPr>
        <w:t xml:space="preserve"> на основі даних бухгалтерського обліку, що ведеться відповідно до законодавства, та фінансової звітності, складеної відповідно до обраної концептуальної основи Міжнародних стандартів фінансової звітності</w:t>
      </w:r>
      <w:r w:rsidR="006052AF">
        <w:rPr>
          <w:sz w:val="28"/>
          <w:szCs w:val="28"/>
          <w:shd w:val="clear" w:color="auto" w:fill="FFFFFF"/>
        </w:rPr>
        <w:t>;</w:t>
      </w:r>
    </w:p>
    <w:p w:rsidR="006052AF" w:rsidRPr="00045D1D" w:rsidRDefault="006052AF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45D1D">
        <w:rPr>
          <w:sz w:val="28"/>
          <w:szCs w:val="28"/>
        </w:rPr>
        <w:t>професійні учасники ринків капіталу та організованих товарних ринків</w:t>
      </w:r>
      <w:r w:rsidRPr="00045D1D">
        <w:rPr>
          <w:sz w:val="28"/>
          <w:szCs w:val="28"/>
          <w:shd w:val="clear" w:color="auto" w:fill="FFFFFF"/>
        </w:rPr>
        <w:t xml:space="preserve"> здійснюють розрахунок </w:t>
      </w:r>
      <w:r w:rsidRPr="00045D1D">
        <w:rPr>
          <w:sz w:val="28"/>
          <w:szCs w:val="28"/>
        </w:rPr>
        <w:t>нормативу ліквідності активів</w:t>
      </w:r>
      <w:r w:rsidRPr="00045D1D">
        <w:rPr>
          <w:sz w:val="28"/>
          <w:szCs w:val="28"/>
          <w:shd w:val="clear" w:color="auto" w:fill="FFFFFF"/>
        </w:rPr>
        <w:t xml:space="preserve"> станом на кінець кожного робочого дня, а також станом на кінець останнього дня кожного місяця, якщо такий день не є робочим;</w:t>
      </w:r>
    </w:p>
    <w:p w:rsidR="006052AF" w:rsidRPr="00045D1D" w:rsidRDefault="006052AF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45D1D">
        <w:rPr>
          <w:sz w:val="28"/>
          <w:szCs w:val="28"/>
        </w:rPr>
        <w:t>професійні учасники ринків капіталу та організованих товарних ринків</w:t>
      </w:r>
      <w:r w:rsidRPr="00045D1D">
        <w:rPr>
          <w:sz w:val="28"/>
          <w:szCs w:val="28"/>
          <w:shd w:val="clear" w:color="auto" w:fill="FFFFFF"/>
        </w:rPr>
        <w:t xml:space="preserve"> забезпечують фіксацію розрахунку </w:t>
      </w:r>
      <w:r w:rsidRPr="00045D1D">
        <w:rPr>
          <w:sz w:val="28"/>
          <w:szCs w:val="28"/>
        </w:rPr>
        <w:t>нормативу ліквідності активів</w:t>
      </w:r>
      <w:r w:rsidRPr="00045D1D">
        <w:rPr>
          <w:sz w:val="28"/>
          <w:szCs w:val="28"/>
          <w:shd w:val="clear" w:color="auto" w:fill="FFFFFF"/>
        </w:rPr>
        <w:t xml:space="preserve"> та його зберігання на паперових носіях або в електронному вигляді;</w:t>
      </w:r>
    </w:p>
    <w:p w:rsidR="00F6576D" w:rsidRPr="00045D1D" w:rsidRDefault="006052AF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  <w:r w:rsidRPr="00045D1D">
        <w:rPr>
          <w:sz w:val="28"/>
          <w:szCs w:val="28"/>
          <w:shd w:val="clear" w:color="auto" w:fill="FFFFFF"/>
        </w:rPr>
        <w:t xml:space="preserve">інформація про результати розрахунку </w:t>
      </w:r>
      <w:r w:rsidRPr="00045D1D">
        <w:rPr>
          <w:sz w:val="28"/>
          <w:szCs w:val="28"/>
        </w:rPr>
        <w:t>нормативу ліквідності активів</w:t>
      </w:r>
      <w:r w:rsidRPr="00045D1D">
        <w:rPr>
          <w:sz w:val="28"/>
          <w:szCs w:val="28"/>
          <w:shd w:val="clear" w:color="auto" w:fill="FFFFFF"/>
        </w:rPr>
        <w:t xml:space="preserve"> та дані, на основі яких здійснювався розрахунок зазначеного показника, подаються до </w:t>
      </w:r>
      <w:r w:rsidR="006E6C74" w:rsidRPr="006E6C74">
        <w:rPr>
          <w:bCs/>
          <w:sz w:val="28"/>
          <w:szCs w:val="28"/>
        </w:rPr>
        <w:lastRenderedPageBreak/>
        <w:t>Національної  комісії з цінних паперів та фондового ринку</w:t>
      </w:r>
      <w:r w:rsidR="006E6C74" w:rsidRPr="006E6C74">
        <w:rPr>
          <w:sz w:val="28"/>
          <w:szCs w:val="28"/>
          <w:shd w:val="clear" w:color="auto" w:fill="FFFFFF"/>
        </w:rPr>
        <w:t xml:space="preserve"> відповідно до пункту 6</w:t>
      </w:r>
      <w:r w:rsidR="006E6C74" w:rsidRPr="006E6C74">
        <w:rPr>
          <w:bCs/>
          <w:sz w:val="28"/>
          <w:szCs w:val="28"/>
        </w:rPr>
        <w:t xml:space="preserve"> рішення Національної  комісії з цінних паперів та фондового ринку від 23 квітня 2022 року № 314 «Про подання п</w:t>
      </w:r>
      <w:r w:rsidR="006E6C74" w:rsidRPr="006E6C74">
        <w:rPr>
          <w:bCs/>
          <w:sz w:val="28"/>
        </w:rPr>
        <w:t>рофесійними учасниками ринків капіталу</w:t>
      </w:r>
      <w:r w:rsidR="006E6C74" w:rsidRPr="006E6C74">
        <w:rPr>
          <w:bCs/>
          <w:sz w:val="28"/>
          <w:szCs w:val="28"/>
        </w:rPr>
        <w:t xml:space="preserve"> та організованих товарних ринків</w:t>
      </w:r>
      <w:r w:rsidR="006E6C74" w:rsidRPr="006E6C74">
        <w:rPr>
          <w:bCs/>
          <w:sz w:val="28"/>
        </w:rPr>
        <w:t xml:space="preserve"> </w:t>
      </w:r>
      <w:r w:rsidR="006E6C74" w:rsidRPr="006E6C74">
        <w:rPr>
          <w:bCs/>
          <w:sz w:val="28"/>
          <w:szCs w:val="28"/>
        </w:rPr>
        <w:t>звітних даних та інших відомостей до Національної  комісії з цінних паперів та фондового ринку під час дії воєнного стану» (зі змінами)</w:t>
      </w:r>
      <w:r w:rsidR="006E6C74" w:rsidRPr="006E6C74">
        <w:rPr>
          <w:sz w:val="28"/>
          <w:szCs w:val="28"/>
        </w:rPr>
        <w:t>.</w:t>
      </w:r>
    </w:p>
    <w:p w:rsidR="00265B62" w:rsidRDefault="00265B62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265B62" w:rsidRPr="00045D1D" w:rsidRDefault="00265B62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045D1D">
        <w:rPr>
          <w:sz w:val="28"/>
          <w:szCs w:val="28"/>
          <w:shd w:val="clear" w:color="auto" w:fill="FFFFFF"/>
        </w:rPr>
        <w:t xml:space="preserve">Встановити, що </w:t>
      </w:r>
      <w:r w:rsidRPr="00045D1D">
        <w:rPr>
          <w:sz w:val="28"/>
          <w:szCs w:val="28"/>
        </w:rPr>
        <w:t>нормативн</w:t>
      </w:r>
      <w:r w:rsidR="006A70E8" w:rsidRPr="00045D1D">
        <w:rPr>
          <w:sz w:val="28"/>
          <w:szCs w:val="28"/>
        </w:rPr>
        <w:t>е</w:t>
      </w:r>
      <w:r w:rsidRPr="00045D1D">
        <w:rPr>
          <w:sz w:val="28"/>
          <w:szCs w:val="28"/>
        </w:rPr>
        <w:t xml:space="preserve"> значення нормативу ліквідності активів</w:t>
      </w:r>
      <w:r w:rsidRPr="00045D1D">
        <w:rPr>
          <w:sz w:val="28"/>
          <w:szCs w:val="28"/>
          <w:shd w:val="clear" w:color="auto" w:fill="FFFFFF"/>
        </w:rPr>
        <w:t>, передбачен</w:t>
      </w:r>
      <w:r w:rsidR="006A70E8" w:rsidRPr="00045D1D">
        <w:rPr>
          <w:sz w:val="28"/>
          <w:szCs w:val="28"/>
          <w:shd w:val="clear" w:color="auto" w:fill="FFFFFF"/>
        </w:rPr>
        <w:t>ого</w:t>
      </w:r>
      <w:r w:rsidRPr="00045D1D">
        <w:rPr>
          <w:sz w:val="28"/>
          <w:szCs w:val="28"/>
          <w:shd w:val="clear" w:color="auto" w:fill="FFFFFF"/>
        </w:rPr>
        <w:t xml:space="preserve"> пунктом 1 цього рішення, </w:t>
      </w:r>
      <w:r w:rsidR="006A70E8" w:rsidRPr="00045D1D">
        <w:rPr>
          <w:sz w:val="28"/>
          <w:szCs w:val="28"/>
          <w:shd w:val="clear" w:color="auto" w:fill="FFFFFF"/>
        </w:rPr>
        <w:t>становить</w:t>
      </w:r>
      <w:r w:rsidRPr="00045D1D">
        <w:rPr>
          <w:sz w:val="28"/>
          <w:szCs w:val="28"/>
          <w:shd w:val="clear" w:color="auto" w:fill="FFFFFF"/>
        </w:rPr>
        <w:t>:</w:t>
      </w:r>
    </w:p>
    <w:p w:rsidR="00265B62" w:rsidRPr="00045D1D" w:rsidRDefault="00265B62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45D1D">
        <w:rPr>
          <w:sz w:val="28"/>
          <w:szCs w:val="28"/>
          <w:shd w:val="clear" w:color="auto" w:fill="FFFFFF"/>
        </w:rPr>
        <w:t>з 01 січня 2023 року</w:t>
      </w:r>
      <w:r w:rsidR="006A70E8" w:rsidRPr="00045D1D">
        <w:rPr>
          <w:sz w:val="28"/>
          <w:szCs w:val="28"/>
          <w:shd w:val="clear" w:color="auto" w:fill="FFFFFF"/>
        </w:rPr>
        <w:t xml:space="preserve"> – не менше</w:t>
      </w:r>
      <w:r w:rsidRPr="00045D1D">
        <w:rPr>
          <w:sz w:val="28"/>
          <w:szCs w:val="28"/>
          <w:shd w:val="clear" w:color="auto" w:fill="FFFFFF"/>
        </w:rPr>
        <w:t xml:space="preserve"> 0,3;</w:t>
      </w:r>
    </w:p>
    <w:p w:rsidR="00265B62" w:rsidRPr="00045D1D" w:rsidRDefault="00265B62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45D1D">
        <w:rPr>
          <w:sz w:val="28"/>
          <w:szCs w:val="28"/>
          <w:shd w:val="clear" w:color="auto" w:fill="FFFFFF"/>
        </w:rPr>
        <w:t xml:space="preserve">з 01 липня 2023 року </w:t>
      </w:r>
      <w:r w:rsidR="006A70E8" w:rsidRPr="00045D1D">
        <w:rPr>
          <w:sz w:val="28"/>
          <w:szCs w:val="28"/>
          <w:shd w:val="clear" w:color="auto" w:fill="FFFFFF"/>
        </w:rPr>
        <w:t>– не менше</w:t>
      </w:r>
      <w:r w:rsidRPr="00045D1D">
        <w:rPr>
          <w:sz w:val="28"/>
          <w:szCs w:val="28"/>
          <w:shd w:val="clear" w:color="auto" w:fill="FFFFFF"/>
        </w:rPr>
        <w:t xml:space="preserve"> 0,5;</w:t>
      </w:r>
    </w:p>
    <w:p w:rsidR="00265B62" w:rsidRDefault="00265B62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045D1D">
        <w:rPr>
          <w:sz w:val="28"/>
          <w:szCs w:val="28"/>
          <w:shd w:val="clear" w:color="auto" w:fill="FFFFFF"/>
        </w:rPr>
        <w:t xml:space="preserve">з 01 січня 2024 року </w:t>
      </w:r>
      <w:r w:rsidR="006A70E8" w:rsidRPr="00045D1D">
        <w:rPr>
          <w:sz w:val="28"/>
          <w:szCs w:val="28"/>
          <w:shd w:val="clear" w:color="auto" w:fill="FFFFFF"/>
        </w:rPr>
        <w:t>– не менше</w:t>
      </w:r>
      <w:r w:rsidRPr="00045D1D">
        <w:rPr>
          <w:sz w:val="28"/>
          <w:szCs w:val="28"/>
          <w:shd w:val="clear" w:color="auto" w:fill="FFFFFF"/>
        </w:rPr>
        <w:t xml:space="preserve"> 1.</w:t>
      </w:r>
    </w:p>
    <w:p w:rsidR="00013740" w:rsidRDefault="00013740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013740" w:rsidRDefault="00013740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Для </w:t>
      </w:r>
      <w:r w:rsidRPr="00045D1D">
        <w:rPr>
          <w:sz w:val="28"/>
          <w:szCs w:val="28"/>
          <w:shd w:val="clear" w:color="auto" w:fill="FFFFFF"/>
        </w:rPr>
        <w:t>професійн</w:t>
      </w:r>
      <w:r>
        <w:rPr>
          <w:sz w:val="28"/>
          <w:szCs w:val="28"/>
          <w:shd w:val="clear" w:color="auto" w:fill="FFFFFF"/>
        </w:rPr>
        <w:t>их</w:t>
      </w:r>
      <w:r w:rsidRPr="00045D1D">
        <w:rPr>
          <w:sz w:val="28"/>
          <w:szCs w:val="28"/>
          <w:shd w:val="clear" w:color="auto" w:fill="FFFFFF"/>
        </w:rPr>
        <w:t xml:space="preserve"> учасник</w:t>
      </w:r>
      <w:r>
        <w:rPr>
          <w:sz w:val="28"/>
          <w:szCs w:val="28"/>
          <w:shd w:val="clear" w:color="auto" w:fill="FFFFFF"/>
        </w:rPr>
        <w:t xml:space="preserve">ів </w:t>
      </w:r>
      <w:r w:rsidRPr="00045D1D">
        <w:rPr>
          <w:sz w:val="28"/>
          <w:szCs w:val="28"/>
        </w:rPr>
        <w:t>ринків капіталу та організованих товарних ринків</w:t>
      </w:r>
      <w:r>
        <w:rPr>
          <w:sz w:val="28"/>
          <w:szCs w:val="28"/>
        </w:rPr>
        <w:t xml:space="preserve">, які отримали ліцензію з 01 січня 2023 року, </w:t>
      </w:r>
      <w:r w:rsidRPr="00045D1D">
        <w:rPr>
          <w:sz w:val="28"/>
          <w:szCs w:val="28"/>
        </w:rPr>
        <w:t>нормативне значення нормативу ліквідності активів</w:t>
      </w:r>
      <w:r w:rsidRPr="00045D1D">
        <w:rPr>
          <w:sz w:val="28"/>
          <w:szCs w:val="28"/>
          <w:shd w:val="clear" w:color="auto" w:fill="FFFFFF"/>
        </w:rPr>
        <w:t>, передбаченого пунктом 1 цього рішення</w:t>
      </w:r>
      <w:r>
        <w:rPr>
          <w:sz w:val="28"/>
          <w:szCs w:val="28"/>
          <w:shd w:val="clear" w:color="auto" w:fill="FFFFFF"/>
        </w:rPr>
        <w:t xml:space="preserve">, становить </w:t>
      </w:r>
      <w:r w:rsidRPr="00045D1D">
        <w:rPr>
          <w:sz w:val="28"/>
          <w:szCs w:val="28"/>
          <w:shd w:val="clear" w:color="auto" w:fill="FFFFFF"/>
        </w:rPr>
        <w:t>не менше 1.</w:t>
      </w:r>
    </w:p>
    <w:p w:rsidR="00C708B5" w:rsidRDefault="00C708B5" w:rsidP="00D652C1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C708B5" w:rsidRDefault="00013740" w:rsidP="00C708B5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C708B5">
        <w:rPr>
          <w:sz w:val="28"/>
          <w:szCs w:val="28"/>
          <w:shd w:val="clear" w:color="auto" w:fill="FFFFFF"/>
        </w:rPr>
        <w:t xml:space="preserve">. Невиконання </w:t>
      </w:r>
      <w:r w:rsidR="00C708B5" w:rsidRPr="00045D1D">
        <w:rPr>
          <w:sz w:val="28"/>
          <w:szCs w:val="28"/>
          <w:shd w:val="clear" w:color="auto" w:fill="FFFFFF"/>
        </w:rPr>
        <w:t>професійним учасник</w:t>
      </w:r>
      <w:r w:rsidR="00C708B5">
        <w:rPr>
          <w:sz w:val="28"/>
          <w:szCs w:val="28"/>
          <w:shd w:val="clear" w:color="auto" w:fill="FFFFFF"/>
        </w:rPr>
        <w:t>ом</w:t>
      </w:r>
      <w:r w:rsidR="00143395">
        <w:rPr>
          <w:sz w:val="28"/>
          <w:szCs w:val="28"/>
          <w:shd w:val="clear" w:color="auto" w:fill="FFFFFF"/>
        </w:rPr>
        <w:t xml:space="preserve"> </w:t>
      </w:r>
      <w:r w:rsidR="00C708B5" w:rsidRPr="00045D1D">
        <w:rPr>
          <w:sz w:val="28"/>
          <w:szCs w:val="28"/>
        </w:rPr>
        <w:t>ринків капіталу та організованих товарних ринків</w:t>
      </w:r>
      <w:r w:rsidR="00C708B5">
        <w:rPr>
          <w:sz w:val="28"/>
          <w:szCs w:val="28"/>
          <w:shd w:val="clear" w:color="auto" w:fill="FFFFFF"/>
        </w:rPr>
        <w:t xml:space="preserve"> вимог цього рішення щодо нормативного значення </w:t>
      </w:r>
      <w:r w:rsidR="00C708B5" w:rsidRPr="00045D1D">
        <w:rPr>
          <w:sz w:val="28"/>
          <w:szCs w:val="28"/>
        </w:rPr>
        <w:t>нормативу ліквідності активів</w:t>
      </w:r>
      <w:r w:rsidR="00C708B5">
        <w:rPr>
          <w:sz w:val="28"/>
          <w:szCs w:val="28"/>
        </w:rPr>
        <w:t xml:space="preserve"> є порушенням Ліцензійних умов</w:t>
      </w:r>
      <w:r w:rsidR="005400A3">
        <w:rPr>
          <w:sz w:val="28"/>
          <w:szCs w:val="28"/>
        </w:rPr>
        <w:t xml:space="preserve"> провадження професійної діяльності на ринках капіталу та </w:t>
      </w:r>
      <w:r w:rsidR="005400A3" w:rsidRPr="00045D1D">
        <w:rPr>
          <w:sz w:val="28"/>
          <w:szCs w:val="28"/>
        </w:rPr>
        <w:t>організованих товарних ринк</w:t>
      </w:r>
      <w:r w:rsidR="005400A3">
        <w:rPr>
          <w:sz w:val="28"/>
          <w:szCs w:val="28"/>
        </w:rPr>
        <w:t>ах.</w:t>
      </w:r>
    </w:p>
    <w:p w:rsidR="005400A3" w:rsidRDefault="005400A3" w:rsidP="00C708B5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5400A3" w:rsidRDefault="00013740" w:rsidP="00C708B5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00A3">
        <w:rPr>
          <w:sz w:val="28"/>
          <w:szCs w:val="28"/>
        </w:rPr>
        <w:t xml:space="preserve">. Для виконання вимог цього рішення </w:t>
      </w:r>
      <w:r w:rsidR="00B757AD">
        <w:rPr>
          <w:sz w:val="28"/>
          <w:szCs w:val="28"/>
        </w:rPr>
        <w:t>д</w:t>
      </w:r>
      <w:r w:rsidR="00B757AD" w:rsidRPr="00B757AD">
        <w:rPr>
          <w:sz w:val="28"/>
          <w:szCs w:val="28"/>
        </w:rPr>
        <w:t>озволити депозитарним установам бути депонентами іншої депозитарної установи, яким рахунок у цінних паперах в такій депозитарній установі відкривається як юридичній особі - резиденту для обліку державних цінних паперів, які належать ним на праві власності</w:t>
      </w:r>
      <w:r w:rsidR="005400A3">
        <w:rPr>
          <w:sz w:val="28"/>
          <w:szCs w:val="28"/>
        </w:rPr>
        <w:t>.</w:t>
      </w:r>
    </w:p>
    <w:p w:rsidR="00143395" w:rsidRDefault="00143395" w:rsidP="00C708B5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2A5289" w:rsidRPr="00BA30BF" w:rsidRDefault="00013740" w:rsidP="00C708B5">
      <w:pPr>
        <w:tabs>
          <w:tab w:val="left" w:pos="4664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143395">
        <w:rPr>
          <w:sz w:val="28"/>
          <w:szCs w:val="28"/>
        </w:rPr>
        <w:t>. У процесі нагляду за дотриманням вимог цього рішення</w:t>
      </w:r>
      <w:r w:rsidR="00AC76BF" w:rsidRPr="00AC76BF">
        <w:rPr>
          <w:sz w:val="28"/>
          <w:szCs w:val="28"/>
        </w:rPr>
        <w:t xml:space="preserve"> </w:t>
      </w:r>
      <w:r w:rsidR="00AC76BF">
        <w:rPr>
          <w:sz w:val="28"/>
          <w:szCs w:val="28"/>
          <w:shd w:val="clear" w:color="auto" w:fill="FFFFFF"/>
        </w:rPr>
        <w:t xml:space="preserve">щодо нормативного значення </w:t>
      </w:r>
      <w:r w:rsidR="00AC76BF" w:rsidRPr="00045D1D">
        <w:rPr>
          <w:sz w:val="28"/>
          <w:szCs w:val="28"/>
        </w:rPr>
        <w:t>нормативу ліквідності активів</w:t>
      </w:r>
      <w:r w:rsidR="00143395" w:rsidRPr="00143395">
        <w:rPr>
          <w:sz w:val="28"/>
          <w:szCs w:val="28"/>
          <w:shd w:val="clear" w:color="auto" w:fill="FFFFFF"/>
        </w:rPr>
        <w:t xml:space="preserve"> </w:t>
      </w:r>
      <w:r w:rsidR="00143395">
        <w:rPr>
          <w:sz w:val="28"/>
          <w:szCs w:val="28"/>
          <w:shd w:val="clear" w:color="auto" w:fill="FFFFFF"/>
        </w:rPr>
        <w:t xml:space="preserve">до </w:t>
      </w:r>
      <w:r w:rsidR="00143395" w:rsidRPr="00045D1D">
        <w:rPr>
          <w:sz w:val="28"/>
          <w:szCs w:val="28"/>
          <w:shd w:val="clear" w:color="auto" w:fill="FFFFFF"/>
        </w:rPr>
        <w:t>професійни</w:t>
      </w:r>
      <w:r w:rsidR="00143395">
        <w:rPr>
          <w:sz w:val="28"/>
          <w:szCs w:val="28"/>
          <w:shd w:val="clear" w:color="auto" w:fill="FFFFFF"/>
        </w:rPr>
        <w:t>х</w:t>
      </w:r>
      <w:r w:rsidR="00143395" w:rsidRPr="00045D1D">
        <w:rPr>
          <w:sz w:val="28"/>
          <w:szCs w:val="28"/>
          <w:shd w:val="clear" w:color="auto" w:fill="FFFFFF"/>
        </w:rPr>
        <w:t xml:space="preserve"> учасник</w:t>
      </w:r>
      <w:r w:rsidR="00143395">
        <w:rPr>
          <w:sz w:val="28"/>
          <w:szCs w:val="28"/>
          <w:shd w:val="clear" w:color="auto" w:fill="FFFFFF"/>
        </w:rPr>
        <w:t xml:space="preserve">ів </w:t>
      </w:r>
      <w:r w:rsidR="00143395" w:rsidRPr="00045D1D">
        <w:rPr>
          <w:sz w:val="28"/>
          <w:szCs w:val="28"/>
        </w:rPr>
        <w:t>ринків капіталу та організованих товарних ринків</w:t>
      </w:r>
      <w:r w:rsidR="00143395">
        <w:rPr>
          <w:sz w:val="28"/>
          <w:szCs w:val="28"/>
        </w:rPr>
        <w:t xml:space="preserve"> застосову</w:t>
      </w:r>
      <w:r w:rsidR="0006775F">
        <w:rPr>
          <w:sz w:val="28"/>
          <w:szCs w:val="28"/>
        </w:rPr>
        <w:t>ю</w:t>
      </w:r>
      <w:r w:rsidR="00143395">
        <w:rPr>
          <w:sz w:val="28"/>
          <w:szCs w:val="28"/>
        </w:rPr>
        <w:t>ться</w:t>
      </w:r>
      <w:r w:rsidR="0006775F">
        <w:rPr>
          <w:sz w:val="28"/>
          <w:szCs w:val="28"/>
        </w:rPr>
        <w:t xml:space="preserve"> норми</w:t>
      </w:r>
      <w:r w:rsidR="00143395">
        <w:rPr>
          <w:sz w:val="28"/>
          <w:szCs w:val="28"/>
        </w:rPr>
        <w:t xml:space="preserve"> Положення про нагляд за дотриманням пруденційних нормативів професійними учасниками фондового ринку, затверджен</w:t>
      </w:r>
      <w:r w:rsidR="001B5F29">
        <w:rPr>
          <w:sz w:val="28"/>
          <w:szCs w:val="28"/>
        </w:rPr>
        <w:t>ого</w:t>
      </w:r>
      <w:r w:rsidR="00143395">
        <w:rPr>
          <w:sz w:val="28"/>
          <w:szCs w:val="28"/>
        </w:rPr>
        <w:t xml:space="preserve"> рішенням </w:t>
      </w:r>
      <w:r w:rsidR="00675B80" w:rsidRPr="00BC1158">
        <w:rPr>
          <w:sz w:val="28"/>
          <w:szCs w:val="28"/>
        </w:rPr>
        <w:t>Національної комісії з цінних паперів та фондового ринку</w:t>
      </w:r>
      <w:r w:rsidR="00675B80">
        <w:rPr>
          <w:sz w:val="28"/>
          <w:szCs w:val="28"/>
        </w:rPr>
        <w:t xml:space="preserve"> від 01 грудня 2015 року № 2021, зареєстрован</w:t>
      </w:r>
      <w:r w:rsidR="001B5F29">
        <w:rPr>
          <w:sz w:val="28"/>
          <w:szCs w:val="28"/>
        </w:rPr>
        <w:t>ого</w:t>
      </w:r>
      <w:r w:rsidR="00675B80">
        <w:rPr>
          <w:sz w:val="28"/>
          <w:szCs w:val="28"/>
        </w:rPr>
        <w:t xml:space="preserve"> в Міністерстві юстиції України 21 грудня 2015 року за </w:t>
      </w:r>
      <w:r w:rsidR="001B5F29">
        <w:rPr>
          <w:sz w:val="28"/>
          <w:szCs w:val="28"/>
        </w:rPr>
        <w:t xml:space="preserve">                </w:t>
      </w:r>
      <w:r w:rsidR="00675B80">
        <w:rPr>
          <w:sz w:val="28"/>
          <w:szCs w:val="28"/>
        </w:rPr>
        <w:t xml:space="preserve">№ </w:t>
      </w:r>
      <w:r w:rsidR="00675B80" w:rsidRPr="00675B80">
        <w:rPr>
          <w:bCs/>
          <w:sz w:val="28"/>
          <w:szCs w:val="28"/>
          <w:shd w:val="clear" w:color="auto" w:fill="FFFFFF"/>
        </w:rPr>
        <w:t>1599/28044</w:t>
      </w:r>
      <w:r w:rsidR="00677607">
        <w:rPr>
          <w:bCs/>
          <w:sz w:val="28"/>
          <w:szCs w:val="28"/>
          <w:shd w:val="clear" w:color="auto" w:fill="FFFFFF"/>
        </w:rPr>
        <w:t xml:space="preserve"> (далі – Положення)</w:t>
      </w:r>
      <w:r w:rsidR="0006775F">
        <w:rPr>
          <w:bCs/>
          <w:sz w:val="28"/>
          <w:szCs w:val="28"/>
          <w:shd w:val="clear" w:color="auto" w:fill="FFFFFF"/>
        </w:rPr>
        <w:t xml:space="preserve">, що встановлюють </w:t>
      </w:r>
      <w:r w:rsidR="001B5F29">
        <w:rPr>
          <w:bCs/>
          <w:sz w:val="28"/>
          <w:szCs w:val="28"/>
          <w:shd w:val="clear" w:color="auto" w:fill="FFFFFF"/>
        </w:rPr>
        <w:t>порядок нагляду за дотриманням пруденційних нормативів, розрахунок яких здійснюється станом на кінець кожного робочого дня,</w:t>
      </w:r>
      <w:r w:rsidR="007F7DC5">
        <w:rPr>
          <w:bCs/>
          <w:sz w:val="28"/>
          <w:szCs w:val="28"/>
          <w:shd w:val="clear" w:color="auto" w:fill="FFFFFF"/>
        </w:rPr>
        <w:t xml:space="preserve"> </w:t>
      </w:r>
      <w:r w:rsidR="001B5F29">
        <w:rPr>
          <w:bCs/>
          <w:sz w:val="28"/>
          <w:szCs w:val="28"/>
          <w:shd w:val="clear" w:color="auto" w:fill="FFFFFF"/>
        </w:rPr>
        <w:t xml:space="preserve">та передбачають </w:t>
      </w:r>
      <w:r w:rsidR="007104B1" w:rsidRPr="00FE5A67">
        <w:rPr>
          <w:sz w:val="28"/>
          <w:szCs w:val="28"/>
          <w:shd w:val="clear" w:color="auto" w:fill="FFFFFF"/>
        </w:rPr>
        <w:t>підготовку плану заходів щодо поліпшення свого фінансового стану</w:t>
      </w:r>
      <w:r w:rsidR="00780C1B">
        <w:rPr>
          <w:sz w:val="28"/>
          <w:szCs w:val="28"/>
          <w:shd w:val="clear" w:color="auto" w:fill="FFFFFF"/>
        </w:rPr>
        <w:t xml:space="preserve"> (далі – план заходів)</w:t>
      </w:r>
      <w:r w:rsidR="007104B1">
        <w:rPr>
          <w:bCs/>
          <w:sz w:val="28"/>
          <w:szCs w:val="28"/>
          <w:shd w:val="clear" w:color="auto" w:fill="FFFFFF"/>
        </w:rPr>
        <w:t xml:space="preserve"> </w:t>
      </w:r>
      <w:r w:rsidR="001B5F29">
        <w:rPr>
          <w:bCs/>
          <w:sz w:val="28"/>
          <w:szCs w:val="28"/>
          <w:shd w:val="clear" w:color="auto" w:fill="FFFFFF"/>
        </w:rPr>
        <w:t xml:space="preserve">у разі </w:t>
      </w:r>
      <w:r w:rsidR="001B5F29" w:rsidRPr="001B5F29">
        <w:rPr>
          <w:sz w:val="28"/>
          <w:szCs w:val="28"/>
          <w:shd w:val="clear" w:color="auto" w:fill="FFFFFF"/>
        </w:rPr>
        <w:t>недотримання професійним учасником</w:t>
      </w:r>
      <w:r w:rsidR="00440501">
        <w:rPr>
          <w:sz w:val="28"/>
          <w:szCs w:val="28"/>
          <w:shd w:val="clear" w:color="auto" w:fill="FFFFFF"/>
        </w:rPr>
        <w:t xml:space="preserve"> </w:t>
      </w:r>
      <w:r w:rsidR="00440501" w:rsidRPr="00045D1D">
        <w:rPr>
          <w:sz w:val="28"/>
          <w:szCs w:val="28"/>
        </w:rPr>
        <w:t>ринків капіталу та організованих товарних ринків</w:t>
      </w:r>
      <w:r w:rsidR="001B5F29" w:rsidRPr="001B5F29">
        <w:rPr>
          <w:sz w:val="28"/>
          <w:szCs w:val="28"/>
          <w:shd w:val="clear" w:color="auto" w:fill="FFFFFF"/>
        </w:rPr>
        <w:t xml:space="preserve"> нормативного значення </w:t>
      </w:r>
      <w:r w:rsidR="002D4E5E" w:rsidRPr="00045D1D">
        <w:rPr>
          <w:sz w:val="28"/>
          <w:szCs w:val="28"/>
        </w:rPr>
        <w:t>нормативу ліквідності активів</w:t>
      </w:r>
      <w:r w:rsidR="0013113D" w:rsidRPr="00BA30BF">
        <w:rPr>
          <w:sz w:val="28"/>
          <w:szCs w:val="28"/>
          <w:shd w:val="clear" w:color="auto" w:fill="FFFFFF"/>
        </w:rPr>
        <w:t>, з урахуванням наступного</w:t>
      </w:r>
      <w:r w:rsidR="00677607" w:rsidRPr="00BA30BF">
        <w:rPr>
          <w:bCs/>
          <w:sz w:val="28"/>
          <w:szCs w:val="28"/>
          <w:shd w:val="clear" w:color="auto" w:fill="FFFFFF"/>
        </w:rPr>
        <w:t>:</w:t>
      </w:r>
      <w:r w:rsidR="00440501" w:rsidRPr="00BA30BF">
        <w:rPr>
          <w:bCs/>
          <w:sz w:val="28"/>
          <w:szCs w:val="28"/>
          <w:shd w:val="clear" w:color="auto" w:fill="FFFFFF"/>
        </w:rPr>
        <w:t xml:space="preserve"> </w:t>
      </w:r>
    </w:p>
    <w:p w:rsidR="00677607" w:rsidRPr="00BA30BF" w:rsidRDefault="000051CB" w:rsidP="00C708B5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A30BF">
        <w:rPr>
          <w:bCs/>
          <w:sz w:val="28"/>
          <w:szCs w:val="28"/>
          <w:shd w:val="clear" w:color="auto" w:fill="FFFFFF"/>
        </w:rPr>
        <w:t xml:space="preserve">план заходів має бути наданий </w:t>
      </w:r>
      <w:r w:rsidRPr="00BA30BF">
        <w:rPr>
          <w:sz w:val="28"/>
          <w:szCs w:val="28"/>
          <w:shd w:val="clear" w:color="auto" w:fill="FFFFFF"/>
        </w:rPr>
        <w:t xml:space="preserve">до Комісії </w:t>
      </w:r>
      <w:r w:rsidR="00AA758F" w:rsidRPr="00BA30BF">
        <w:rPr>
          <w:sz w:val="28"/>
          <w:szCs w:val="28"/>
          <w:shd w:val="clear" w:color="auto" w:fill="FFFFFF"/>
        </w:rPr>
        <w:t xml:space="preserve">на розгляд та погодження </w:t>
      </w:r>
      <w:r w:rsidRPr="00BA30BF">
        <w:rPr>
          <w:sz w:val="28"/>
          <w:szCs w:val="28"/>
          <w:shd w:val="clear" w:color="auto" w:fill="FFFFFF"/>
        </w:rPr>
        <w:t xml:space="preserve">протягом </w:t>
      </w:r>
      <w:r w:rsidR="006E6C74">
        <w:rPr>
          <w:sz w:val="28"/>
          <w:szCs w:val="28"/>
          <w:shd w:val="clear" w:color="auto" w:fill="FFFFFF"/>
        </w:rPr>
        <w:t>7</w:t>
      </w:r>
      <w:r w:rsidRPr="00BA30BF">
        <w:rPr>
          <w:sz w:val="28"/>
          <w:szCs w:val="28"/>
          <w:shd w:val="clear" w:color="auto" w:fill="FFFFFF"/>
        </w:rPr>
        <w:t xml:space="preserve"> </w:t>
      </w:r>
      <w:r w:rsidR="00AA758F" w:rsidRPr="00BA30BF">
        <w:rPr>
          <w:sz w:val="28"/>
          <w:szCs w:val="28"/>
          <w:shd w:val="clear" w:color="auto" w:fill="FFFFFF"/>
        </w:rPr>
        <w:t>робочих</w:t>
      </w:r>
      <w:r w:rsidRPr="00BA30BF">
        <w:rPr>
          <w:sz w:val="28"/>
          <w:szCs w:val="28"/>
          <w:shd w:val="clear" w:color="auto" w:fill="FFFFFF"/>
        </w:rPr>
        <w:t xml:space="preserve"> днів від дня виникнення відхилення розрахункового значення </w:t>
      </w:r>
      <w:r w:rsidRPr="00BA30BF">
        <w:rPr>
          <w:sz w:val="28"/>
          <w:szCs w:val="28"/>
        </w:rPr>
        <w:t>нормативу ліквідності активів</w:t>
      </w:r>
      <w:r w:rsidRPr="00BA30BF">
        <w:rPr>
          <w:sz w:val="28"/>
          <w:szCs w:val="28"/>
          <w:shd w:val="clear" w:color="auto" w:fill="FFFFFF"/>
        </w:rPr>
        <w:t xml:space="preserve"> від його нормативного значення</w:t>
      </w:r>
      <w:r w:rsidR="006E6C74">
        <w:rPr>
          <w:sz w:val="28"/>
          <w:szCs w:val="28"/>
          <w:shd w:val="clear" w:color="auto" w:fill="FFFFFF"/>
        </w:rPr>
        <w:t>. Комісія здійснює розгляд плану заходів, за результатом якого може бути винесено рішення про його погодження або про відмову в погодженні</w:t>
      </w:r>
      <w:r w:rsidR="00677607" w:rsidRPr="00BA30BF">
        <w:rPr>
          <w:sz w:val="28"/>
          <w:szCs w:val="28"/>
          <w:shd w:val="clear" w:color="auto" w:fill="FFFFFF"/>
        </w:rPr>
        <w:t>;</w:t>
      </w:r>
      <w:r w:rsidRPr="00BA30BF">
        <w:rPr>
          <w:sz w:val="28"/>
          <w:szCs w:val="28"/>
          <w:shd w:val="clear" w:color="auto" w:fill="FFFFFF"/>
        </w:rPr>
        <w:t xml:space="preserve"> </w:t>
      </w:r>
    </w:p>
    <w:p w:rsidR="00677607" w:rsidRPr="00BA30BF" w:rsidRDefault="00677607" w:rsidP="00C708B5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A30BF">
        <w:rPr>
          <w:sz w:val="28"/>
          <w:szCs w:val="28"/>
          <w:shd w:val="clear" w:color="auto" w:fill="FFFFFF"/>
        </w:rPr>
        <w:t>с</w:t>
      </w:r>
      <w:r w:rsidR="000051CB" w:rsidRPr="00BA30BF">
        <w:rPr>
          <w:sz w:val="28"/>
          <w:szCs w:val="28"/>
          <w:shd w:val="clear" w:color="auto" w:fill="FFFFFF"/>
        </w:rPr>
        <w:t xml:space="preserve">трок реалізації плану заходів не повинен перевищувати 30 календарних днів з дати </w:t>
      </w:r>
      <w:r w:rsidR="00780C1B" w:rsidRPr="00BA30BF">
        <w:rPr>
          <w:sz w:val="28"/>
          <w:szCs w:val="28"/>
          <w:shd w:val="clear" w:color="auto" w:fill="FFFFFF"/>
        </w:rPr>
        <w:t xml:space="preserve">його </w:t>
      </w:r>
      <w:r w:rsidR="00AA758F" w:rsidRPr="00BA30BF">
        <w:rPr>
          <w:sz w:val="28"/>
          <w:szCs w:val="28"/>
          <w:shd w:val="clear" w:color="auto" w:fill="FFFFFF"/>
        </w:rPr>
        <w:t>погодження Комісією</w:t>
      </w:r>
      <w:r w:rsidR="0040244F">
        <w:rPr>
          <w:sz w:val="28"/>
          <w:szCs w:val="28"/>
          <w:shd w:val="clear" w:color="auto" w:fill="FFFFFF"/>
        </w:rPr>
        <w:t>, яке здійснюється протягом 10 робочих днів з дня надходження плану заходів до Комісії</w:t>
      </w:r>
      <w:r w:rsidRPr="00BA30BF">
        <w:rPr>
          <w:sz w:val="28"/>
          <w:szCs w:val="28"/>
          <w:shd w:val="clear" w:color="auto" w:fill="FFFFFF"/>
        </w:rPr>
        <w:t>;</w:t>
      </w:r>
      <w:r w:rsidR="000051CB" w:rsidRPr="00BA30BF">
        <w:rPr>
          <w:sz w:val="28"/>
          <w:szCs w:val="28"/>
          <w:shd w:val="clear" w:color="auto" w:fill="FFFFFF"/>
        </w:rPr>
        <w:t xml:space="preserve"> </w:t>
      </w:r>
    </w:p>
    <w:p w:rsidR="00143395" w:rsidRPr="00BA30BF" w:rsidRDefault="00677607" w:rsidP="00C708B5">
      <w:pPr>
        <w:tabs>
          <w:tab w:val="left" w:pos="466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BA30BF">
        <w:rPr>
          <w:sz w:val="28"/>
          <w:szCs w:val="28"/>
          <w:shd w:val="clear" w:color="auto" w:fill="FFFFFF"/>
        </w:rPr>
        <w:t>п</w:t>
      </w:r>
      <w:r w:rsidR="0013113D" w:rsidRPr="00BA30BF">
        <w:rPr>
          <w:sz w:val="28"/>
          <w:szCs w:val="28"/>
          <w:shd w:val="clear" w:color="auto" w:fill="FFFFFF"/>
        </w:rPr>
        <w:t xml:space="preserve">ротягом 3 </w:t>
      </w:r>
      <w:r w:rsidR="004A3B1E" w:rsidRPr="00BA30BF">
        <w:rPr>
          <w:sz w:val="28"/>
          <w:szCs w:val="28"/>
          <w:shd w:val="clear" w:color="auto" w:fill="FFFFFF"/>
        </w:rPr>
        <w:t>робочих</w:t>
      </w:r>
      <w:r w:rsidR="0013113D" w:rsidRPr="00BA30BF">
        <w:rPr>
          <w:sz w:val="28"/>
          <w:szCs w:val="28"/>
          <w:shd w:val="clear" w:color="auto" w:fill="FFFFFF"/>
        </w:rPr>
        <w:t xml:space="preserve"> днів п</w:t>
      </w:r>
      <w:r w:rsidR="000051CB" w:rsidRPr="00BA30BF">
        <w:rPr>
          <w:sz w:val="28"/>
          <w:szCs w:val="28"/>
          <w:shd w:val="clear" w:color="auto" w:fill="FFFFFF"/>
        </w:rPr>
        <w:t>ісля реалізації плану заходів до Комісії надається звіт про результати його реалізації</w:t>
      </w:r>
      <w:r w:rsidR="006E6C74">
        <w:rPr>
          <w:sz w:val="28"/>
          <w:szCs w:val="28"/>
          <w:shd w:val="clear" w:color="auto" w:fill="FFFFFF"/>
        </w:rPr>
        <w:t xml:space="preserve"> разом із копіями підтверджуючих документів</w:t>
      </w:r>
      <w:r w:rsidR="007F7DC5" w:rsidRPr="00BA30BF">
        <w:rPr>
          <w:sz w:val="28"/>
          <w:szCs w:val="28"/>
          <w:shd w:val="clear" w:color="auto" w:fill="FFFFFF"/>
        </w:rPr>
        <w:t>.</w:t>
      </w:r>
    </w:p>
    <w:p w:rsidR="00780C1B" w:rsidRPr="00BA30BF" w:rsidRDefault="00780C1B" w:rsidP="00C708B5">
      <w:pPr>
        <w:tabs>
          <w:tab w:val="left" w:pos="4664"/>
        </w:tabs>
        <w:ind w:firstLine="567"/>
        <w:jc w:val="both"/>
        <w:rPr>
          <w:sz w:val="28"/>
          <w:szCs w:val="28"/>
        </w:rPr>
      </w:pPr>
      <w:r w:rsidRPr="00BA30BF">
        <w:rPr>
          <w:sz w:val="28"/>
          <w:szCs w:val="28"/>
          <w:shd w:val="clear" w:color="auto" w:fill="FFFFFF"/>
        </w:rPr>
        <w:t>У разі,</w:t>
      </w:r>
      <w:r w:rsidRPr="00BA30BF">
        <w:rPr>
          <w:shd w:val="clear" w:color="auto" w:fill="FFFFFF"/>
        </w:rPr>
        <w:t xml:space="preserve"> </w:t>
      </w:r>
      <w:r w:rsidRPr="00BA30BF">
        <w:rPr>
          <w:sz w:val="28"/>
          <w:szCs w:val="28"/>
          <w:shd w:val="clear" w:color="auto" w:fill="FFFFFF"/>
        </w:rPr>
        <w:t xml:space="preserve">якщо значення </w:t>
      </w:r>
      <w:r w:rsidRPr="00BA30BF">
        <w:rPr>
          <w:sz w:val="28"/>
          <w:szCs w:val="28"/>
        </w:rPr>
        <w:t>нормативу ліквідності активів</w:t>
      </w:r>
      <w:r w:rsidRPr="00BA30BF">
        <w:rPr>
          <w:sz w:val="28"/>
          <w:szCs w:val="28"/>
          <w:shd w:val="clear" w:color="auto" w:fill="FFFFFF"/>
        </w:rPr>
        <w:t xml:space="preserve"> приведено у відповідність до встановленого нормативного значення</w:t>
      </w:r>
      <w:r w:rsidR="00AD08C0">
        <w:rPr>
          <w:sz w:val="28"/>
          <w:szCs w:val="28"/>
          <w:shd w:val="clear" w:color="auto" w:fill="FFFFFF"/>
        </w:rPr>
        <w:t xml:space="preserve"> </w:t>
      </w:r>
      <w:r w:rsidR="00976395">
        <w:rPr>
          <w:sz w:val="28"/>
          <w:szCs w:val="28"/>
          <w:shd w:val="clear" w:color="auto" w:fill="FFFFFF"/>
        </w:rPr>
        <w:t>після</w:t>
      </w:r>
      <w:r w:rsidR="00AD08C0">
        <w:rPr>
          <w:sz w:val="28"/>
          <w:szCs w:val="28"/>
          <w:shd w:val="clear" w:color="auto" w:fill="FFFFFF"/>
        </w:rPr>
        <w:t xml:space="preserve"> дати виникнення</w:t>
      </w:r>
      <w:r w:rsidR="00976395">
        <w:rPr>
          <w:sz w:val="28"/>
          <w:szCs w:val="28"/>
          <w:shd w:val="clear" w:color="auto" w:fill="FFFFFF"/>
        </w:rPr>
        <w:t xml:space="preserve"> відхилення</w:t>
      </w:r>
      <w:r w:rsidRPr="00BA30BF">
        <w:rPr>
          <w:sz w:val="28"/>
          <w:szCs w:val="28"/>
          <w:shd w:val="clear" w:color="auto" w:fill="FFFFFF"/>
        </w:rPr>
        <w:t xml:space="preserve"> </w:t>
      </w:r>
      <w:r w:rsidR="00AD08C0">
        <w:rPr>
          <w:sz w:val="28"/>
          <w:szCs w:val="28"/>
          <w:shd w:val="clear" w:color="auto" w:fill="FFFFFF"/>
        </w:rPr>
        <w:t>до дати</w:t>
      </w:r>
      <w:r w:rsidRPr="00BA30BF">
        <w:rPr>
          <w:sz w:val="28"/>
          <w:szCs w:val="28"/>
          <w:shd w:val="clear" w:color="auto" w:fill="FFFFFF"/>
        </w:rPr>
        <w:t xml:space="preserve"> погодження Комісією плану заходів, до Комісії подається інформація про </w:t>
      </w:r>
      <w:r w:rsidRPr="00976395">
        <w:rPr>
          <w:sz w:val="28"/>
          <w:szCs w:val="28"/>
          <w:shd w:val="clear" w:color="auto" w:fill="FFFFFF"/>
        </w:rPr>
        <w:t>факт</w:t>
      </w:r>
      <w:r w:rsidR="00AD08C0" w:rsidRPr="00976395">
        <w:rPr>
          <w:sz w:val="28"/>
          <w:szCs w:val="28"/>
          <w:shd w:val="clear" w:color="auto" w:fill="FFFFFF"/>
        </w:rPr>
        <w:t xml:space="preserve"> </w:t>
      </w:r>
      <w:r w:rsidR="00AD08C0" w:rsidRPr="00976395">
        <w:rPr>
          <w:color w:val="333333"/>
          <w:sz w:val="28"/>
          <w:szCs w:val="28"/>
          <w:shd w:val="clear" w:color="auto" w:fill="FFFFFF"/>
        </w:rPr>
        <w:t xml:space="preserve">відхилення </w:t>
      </w:r>
      <w:r w:rsidR="00AD08C0" w:rsidRPr="00976395">
        <w:rPr>
          <w:sz w:val="28"/>
          <w:szCs w:val="28"/>
          <w:shd w:val="clear" w:color="auto" w:fill="FFFFFF"/>
        </w:rPr>
        <w:t xml:space="preserve">розрахункового значення </w:t>
      </w:r>
      <w:r w:rsidR="00AD08C0" w:rsidRPr="00976395">
        <w:rPr>
          <w:sz w:val="28"/>
          <w:szCs w:val="28"/>
        </w:rPr>
        <w:t>нормативу ліквідності активів від його нормативного значення</w:t>
      </w:r>
      <w:r w:rsidR="00AD08C0" w:rsidRPr="00976395">
        <w:rPr>
          <w:color w:val="333333"/>
          <w:sz w:val="28"/>
          <w:szCs w:val="28"/>
          <w:shd w:val="clear" w:color="auto" w:fill="FFFFFF"/>
        </w:rPr>
        <w:t xml:space="preserve"> </w:t>
      </w:r>
      <w:r w:rsidR="00AD08C0" w:rsidRPr="00C41953">
        <w:rPr>
          <w:sz w:val="28"/>
          <w:szCs w:val="28"/>
          <w:shd w:val="clear" w:color="auto" w:fill="FFFFFF"/>
        </w:rPr>
        <w:t xml:space="preserve">із зазначенням розрахункового значення </w:t>
      </w:r>
      <w:proofErr w:type="spellStart"/>
      <w:r w:rsidR="00AD08C0" w:rsidRPr="00C41953">
        <w:rPr>
          <w:sz w:val="28"/>
          <w:szCs w:val="28"/>
          <w:shd w:val="clear" w:color="auto" w:fill="FFFFFF"/>
        </w:rPr>
        <w:t>пруденційного</w:t>
      </w:r>
      <w:proofErr w:type="spellEnd"/>
      <w:r w:rsidR="00AD08C0" w:rsidRPr="00C41953">
        <w:rPr>
          <w:sz w:val="28"/>
          <w:szCs w:val="28"/>
          <w:shd w:val="clear" w:color="auto" w:fill="FFFFFF"/>
        </w:rPr>
        <w:t xml:space="preserve"> показника, даних, на основі яких здійснювався розрахунок, та дати виникнення відхилення, а також</w:t>
      </w:r>
      <w:r w:rsidR="00AD08C0" w:rsidRPr="00C41953">
        <w:rPr>
          <w:shd w:val="clear" w:color="auto" w:fill="FFFFFF"/>
        </w:rPr>
        <w:t> </w:t>
      </w:r>
      <w:r w:rsidRPr="00C41953">
        <w:rPr>
          <w:sz w:val="28"/>
          <w:szCs w:val="28"/>
          <w:shd w:val="clear" w:color="auto" w:fill="FFFFFF"/>
        </w:rPr>
        <w:t xml:space="preserve"> </w:t>
      </w:r>
      <w:r w:rsidR="00AD08C0" w:rsidRPr="00C41953">
        <w:rPr>
          <w:sz w:val="28"/>
          <w:szCs w:val="28"/>
          <w:shd w:val="clear" w:color="auto" w:fill="FFFFFF"/>
        </w:rPr>
        <w:t xml:space="preserve">щодо </w:t>
      </w:r>
      <w:r w:rsidR="00677607" w:rsidRPr="00C41953">
        <w:rPr>
          <w:sz w:val="28"/>
          <w:szCs w:val="28"/>
          <w:shd w:val="clear" w:color="auto" w:fill="FFFFFF"/>
        </w:rPr>
        <w:t>приведення</w:t>
      </w:r>
      <w:r w:rsidRPr="00C41953">
        <w:rPr>
          <w:sz w:val="28"/>
          <w:szCs w:val="28"/>
          <w:shd w:val="clear" w:color="auto" w:fill="FFFFFF"/>
        </w:rPr>
        <w:t xml:space="preserve"> значення </w:t>
      </w:r>
      <w:r w:rsidRPr="00C41953">
        <w:rPr>
          <w:sz w:val="28"/>
          <w:szCs w:val="28"/>
        </w:rPr>
        <w:t>нормативу ліквідності активів</w:t>
      </w:r>
      <w:r w:rsidRPr="00C41953">
        <w:rPr>
          <w:sz w:val="28"/>
          <w:szCs w:val="28"/>
          <w:shd w:val="clear" w:color="auto" w:fill="FFFFFF"/>
        </w:rPr>
        <w:t xml:space="preserve"> </w:t>
      </w:r>
      <w:r w:rsidR="00677607" w:rsidRPr="00C41953">
        <w:rPr>
          <w:sz w:val="28"/>
          <w:szCs w:val="28"/>
          <w:shd w:val="clear" w:color="auto" w:fill="FFFFFF"/>
        </w:rPr>
        <w:t>до</w:t>
      </w:r>
      <w:r w:rsidRPr="00C41953">
        <w:rPr>
          <w:sz w:val="28"/>
          <w:szCs w:val="28"/>
          <w:shd w:val="clear" w:color="auto" w:fill="FFFFFF"/>
        </w:rPr>
        <w:t xml:space="preserve"> його нормативного значення із зазначенням</w:t>
      </w:r>
      <w:r w:rsidRPr="00BA30BF">
        <w:rPr>
          <w:sz w:val="28"/>
          <w:szCs w:val="28"/>
          <w:shd w:val="clear" w:color="auto" w:fill="FFFFFF"/>
        </w:rPr>
        <w:t xml:space="preserve"> розрахункового значення </w:t>
      </w:r>
      <w:proofErr w:type="spellStart"/>
      <w:r w:rsidR="00AD08C0">
        <w:rPr>
          <w:sz w:val="28"/>
          <w:szCs w:val="28"/>
        </w:rPr>
        <w:t>пруденційного</w:t>
      </w:r>
      <w:proofErr w:type="spellEnd"/>
      <w:r w:rsidR="00AD08C0">
        <w:rPr>
          <w:sz w:val="28"/>
          <w:szCs w:val="28"/>
        </w:rPr>
        <w:t xml:space="preserve"> показника</w:t>
      </w:r>
      <w:r w:rsidRPr="00BA30BF">
        <w:rPr>
          <w:sz w:val="28"/>
          <w:szCs w:val="28"/>
          <w:shd w:val="clear" w:color="auto" w:fill="FFFFFF"/>
        </w:rPr>
        <w:t>, даних, на основі яких здійснювався розрахунок, та дати, на яку показник було приведено у відповідність до нормативного значення</w:t>
      </w:r>
      <w:r w:rsidR="00976395">
        <w:rPr>
          <w:sz w:val="28"/>
          <w:szCs w:val="28"/>
          <w:shd w:val="clear" w:color="auto" w:fill="FFFFFF"/>
        </w:rPr>
        <w:t>,</w:t>
      </w:r>
      <w:r w:rsidR="00AD08C0">
        <w:rPr>
          <w:sz w:val="28"/>
          <w:szCs w:val="28"/>
          <w:shd w:val="clear" w:color="auto" w:fill="FFFFFF"/>
        </w:rPr>
        <w:t xml:space="preserve"> із доданням підтверджуючих документів</w:t>
      </w:r>
      <w:r w:rsidRPr="00BA30BF">
        <w:rPr>
          <w:sz w:val="28"/>
          <w:szCs w:val="28"/>
          <w:shd w:val="clear" w:color="auto" w:fill="FFFFFF"/>
        </w:rPr>
        <w:t xml:space="preserve"> у строк </w:t>
      </w:r>
      <w:r w:rsidR="00677607" w:rsidRPr="00BA30BF">
        <w:rPr>
          <w:sz w:val="28"/>
          <w:szCs w:val="28"/>
          <w:shd w:val="clear" w:color="auto" w:fill="FFFFFF"/>
        </w:rPr>
        <w:t xml:space="preserve">протягом 3 робочих днів після приведення </w:t>
      </w:r>
      <w:r w:rsidR="00677607" w:rsidRPr="00BA30BF">
        <w:rPr>
          <w:sz w:val="28"/>
          <w:szCs w:val="28"/>
        </w:rPr>
        <w:t>нормативу ліквідності активів</w:t>
      </w:r>
      <w:r w:rsidR="00677607" w:rsidRPr="00BA30BF">
        <w:rPr>
          <w:sz w:val="28"/>
          <w:szCs w:val="28"/>
          <w:shd w:val="clear" w:color="auto" w:fill="FFFFFF"/>
        </w:rPr>
        <w:t xml:space="preserve"> у відповідність до встановленого нормативного значення</w:t>
      </w:r>
      <w:r w:rsidRPr="00BA30BF">
        <w:rPr>
          <w:sz w:val="28"/>
          <w:szCs w:val="28"/>
          <w:shd w:val="clear" w:color="auto" w:fill="FFFFFF"/>
        </w:rPr>
        <w:t>.</w:t>
      </w:r>
    </w:p>
    <w:p w:rsidR="00F6576D" w:rsidRDefault="00F6576D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E817ED" w:rsidRDefault="00013740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817ED" w:rsidRPr="00BC1158">
        <w:rPr>
          <w:sz w:val="28"/>
          <w:szCs w:val="28"/>
        </w:rPr>
        <w:t xml:space="preserve">. Це рішення набирає чинності з </w:t>
      </w:r>
      <w:r w:rsidR="009C790C">
        <w:rPr>
          <w:sz w:val="28"/>
          <w:szCs w:val="28"/>
        </w:rPr>
        <w:t>01 жовтня 2022 року</w:t>
      </w:r>
      <w:r w:rsidR="00E817ED" w:rsidRPr="00BC1158">
        <w:rPr>
          <w:sz w:val="28"/>
          <w:szCs w:val="28"/>
        </w:rPr>
        <w:t xml:space="preserve">. </w:t>
      </w:r>
    </w:p>
    <w:p w:rsidR="009C790C" w:rsidRDefault="009C790C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9C790C" w:rsidRDefault="00013740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790C">
        <w:rPr>
          <w:sz w:val="28"/>
          <w:szCs w:val="28"/>
        </w:rPr>
        <w:t>. Професійним учасникам ринків капіталу та організованих товарних ринків привести свою діяльність у відповідність до вимог цього рішення до 01 січня 2023 року.</w:t>
      </w:r>
    </w:p>
    <w:p w:rsidR="00816239" w:rsidRPr="00BC1158" w:rsidRDefault="00816239" w:rsidP="00D652C1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F65069" w:rsidRDefault="00013740" w:rsidP="0061673B">
      <w:pPr>
        <w:tabs>
          <w:tab w:val="left" w:pos="46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17ED" w:rsidRPr="00BC1158">
        <w:rPr>
          <w:sz w:val="28"/>
          <w:szCs w:val="28"/>
        </w:rPr>
        <w:t xml:space="preserve">. </w:t>
      </w:r>
      <w:r w:rsidR="0061673B" w:rsidRPr="0061673B">
        <w:rPr>
          <w:sz w:val="28"/>
          <w:szCs w:val="28"/>
        </w:rPr>
        <w:t>Контроль за виконанням цього рішення покласти на членів</w:t>
      </w:r>
      <w:r w:rsidR="0061673B">
        <w:rPr>
          <w:sz w:val="28"/>
          <w:szCs w:val="28"/>
        </w:rPr>
        <w:t xml:space="preserve"> </w:t>
      </w:r>
      <w:r w:rsidR="0061673B" w:rsidRPr="0061673B">
        <w:rPr>
          <w:sz w:val="28"/>
          <w:szCs w:val="28"/>
        </w:rPr>
        <w:t>Національної комісії з цінних паперів та фондового ринку відповідно до</w:t>
      </w:r>
      <w:r w:rsidR="0061673B">
        <w:rPr>
          <w:sz w:val="28"/>
          <w:szCs w:val="28"/>
        </w:rPr>
        <w:t xml:space="preserve"> </w:t>
      </w:r>
      <w:r w:rsidR="0061673B" w:rsidRPr="0061673B">
        <w:rPr>
          <w:sz w:val="28"/>
          <w:szCs w:val="28"/>
        </w:rPr>
        <w:t>розподілу повноважень.</w:t>
      </w:r>
    </w:p>
    <w:p w:rsidR="00A941CF" w:rsidRDefault="00A941CF" w:rsidP="0061673B">
      <w:pPr>
        <w:tabs>
          <w:tab w:val="left" w:pos="4664"/>
        </w:tabs>
        <w:ind w:firstLine="567"/>
        <w:jc w:val="both"/>
        <w:rPr>
          <w:sz w:val="28"/>
          <w:szCs w:val="28"/>
        </w:rPr>
      </w:pPr>
    </w:p>
    <w:p w:rsidR="00AA4706" w:rsidRDefault="00AA4706" w:rsidP="00BC1158">
      <w:pPr>
        <w:tabs>
          <w:tab w:val="left" w:pos="4664"/>
        </w:tabs>
        <w:ind w:firstLine="720"/>
        <w:jc w:val="both"/>
        <w:rPr>
          <w:sz w:val="28"/>
          <w:szCs w:val="28"/>
        </w:rPr>
      </w:pPr>
    </w:p>
    <w:p w:rsidR="00816239" w:rsidRDefault="00816239" w:rsidP="00BC1158">
      <w:pPr>
        <w:tabs>
          <w:tab w:val="left" w:pos="4664"/>
        </w:tabs>
        <w:ind w:firstLine="720"/>
        <w:jc w:val="both"/>
        <w:rPr>
          <w:sz w:val="28"/>
          <w:szCs w:val="28"/>
        </w:rPr>
      </w:pPr>
    </w:p>
    <w:p w:rsidR="00481266" w:rsidRPr="00481266" w:rsidRDefault="00481266" w:rsidP="00A941CF">
      <w:pPr>
        <w:pStyle w:val="3"/>
        <w:keepNext w:val="0"/>
        <w:ind w:firstLine="567"/>
        <w:jc w:val="both"/>
      </w:pPr>
      <w:r w:rsidRPr="00481266">
        <w:t>Голова Комісії</w:t>
      </w:r>
      <w:r w:rsidRPr="00481266">
        <w:tab/>
      </w:r>
      <w:r w:rsidRPr="00481266">
        <w:tab/>
      </w:r>
      <w:r w:rsidRPr="00481266">
        <w:tab/>
      </w:r>
      <w:r w:rsidRPr="00481266">
        <w:tab/>
      </w:r>
      <w:r w:rsidRPr="00481266">
        <w:tab/>
        <w:t xml:space="preserve">            Руслан МАГОМЕДОВ</w:t>
      </w:r>
    </w:p>
    <w:p w:rsidR="00AA4706" w:rsidRDefault="00481266" w:rsidP="00481266">
      <w:pPr>
        <w:pStyle w:val="5"/>
        <w:ind w:left="5652"/>
        <w:rPr>
          <w:b w:val="0"/>
          <w:i w:val="0"/>
          <w:sz w:val="28"/>
          <w:szCs w:val="28"/>
        </w:rPr>
      </w:pPr>
      <w:r w:rsidRPr="00481266">
        <w:rPr>
          <w:b w:val="0"/>
          <w:i w:val="0"/>
          <w:sz w:val="28"/>
          <w:szCs w:val="28"/>
        </w:rPr>
        <w:tab/>
      </w:r>
      <w:r w:rsidR="003E0D1E">
        <w:rPr>
          <w:b w:val="0"/>
          <w:i w:val="0"/>
          <w:sz w:val="28"/>
          <w:szCs w:val="28"/>
        </w:rPr>
        <w:t xml:space="preserve">             </w:t>
      </w:r>
    </w:p>
    <w:p w:rsidR="00481266" w:rsidRPr="00F65069" w:rsidRDefault="00AA4706" w:rsidP="00481266">
      <w:pPr>
        <w:pStyle w:val="5"/>
        <w:ind w:left="5652"/>
        <w:rPr>
          <w:b w:val="0"/>
          <w:i w:val="0"/>
          <w:sz w:val="24"/>
          <w:szCs w:val="24"/>
        </w:rPr>
      </w:pPr>
      <w:r>
        <w:rPr>
          <w:b w:val="0"/>
          <w:i w:val="0"/>
          <w:sz w:val="28"/>
          <w:szCs w:val="28"/>
        </w:rPr>
        <w:t xml:space="preserve">              </w:t>
      </w:r>
      <w:r w:rsidR="00481266" w:rsidRPr="00F65069">
        <w:rPr>
          <w:b w:val="0"/>
          <w:i w:val="0"/>
          <w:sz w:val="24"/>
          <w:szCs w:val="24"/>
        </w:rPr>
        <w:t>Протокол засідання Комісії</w:t>
      </w:r>
    </w:p>
    <w:p w:rsidR="003F59DD" w:rsidRPr="00F65069" w:rsidRDefault="00481266" w:rsidP="00F65069">
      <w:pPr>
        <w:ind w:left="5653"/>
        <w:jc w:val="both"/>
      </w:pPr>
      <w:r w:rsidRPr="00F65069">
        <w:tab/>
      </w:r>
      <w:r w:rsidR="003E0D1E">
        <w:t xml:space="preserve">              </w:t>
      </w:r>
      <w:r w:rsidRPr="00F65069">
        <w:t xml:space="preserve">від </w:t>
      </w:r>
      <w:r w:rsidR="00D96C3C">
        <w:t>05</w:t>
      </w:r>
      <w:r w:rsidRPr="00F65069">
        <w:t>.</w:t>
      </w:r>
      <w:r w:rsidR="00D96C3C">
        <w:t>09</w:t>
      </w:r>
      <w:r w:rsidRPr="00F65069">
        <w:t>.202</w:t>
      </w:r>
      <w:r w:rsidR="00BC254B">
        <w:t>2</w:t>
      </w:r>
      <w:r w:rsidRPr="00F65069">
        <w:t xml:space="preserve"> № </w:t>
      </w:r>
      <w:r w:rsidR="00D96C3C">
        <w:t>134</w:t>
      </w:r>
    </w:p>
    <w:sectPr w:rsidR="003F59DD" w:rsidRPr="00F65069" w:rsidSect="00675B80">
      <w:headerReference w:type="default" r:id="rId8"/>
      <w:headerReference w:type="first" r:id="rId9"/>
      <w:footerReference w:type="first" r:id="rId10"/>
      <w:pgSz w:w="12240" w:h="15840"/>
      <w:pgMar w:top="1134" w:right="851" w:bottom="993" w:left="1418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54" w:rsidRDefault="00365F54" w:rsidP="00843F94">
      <w:r>
        <w:separator/>
      </w:r>
    </w:p>
  </w:endnote>
  <w:endnote w:type="continuationSeparator" w:id="0">
    <w:p w:rsidR="00365F54" w:rsidRDefault="00365F5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07" w:rsidRPr="00315093" w:rsidRDefault="00677607">
    <w:pPr>
      <w:pStyle w:val="a5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54" w:rsidRDefault="00365F54" w:rsidP="00843F94">
      <w:r>
        <w:separator/>
      </w:r>
    </w:p>
  </w:footnote>
  <w:footnote w:type="continuationSeparator" w:id="0">
    <w:p w:rsidR="00365F54" w:rsidRDefault="00365F5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975659"/>
      <w:docPartObj>
        <w:docPartGallery w:val="Page Numbers (Top of Page)"/>
        <w:docPartUnique/>
      </w:docPartObj>
    </w:sdtPr>
    <w:sdtEndPr/>
    <w:sdtContent>
      <w:p w:rsidR="00677607" w:rsidRDefault="00DE551A" w:rsidP="000944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0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07" w:rsidRPr="00D224B1" w:rsidRDefault="00677607" w:rsidP="002D326F">
    <w:pPr>
      <w:keepNext/>
      <w:spacing w:before="120" w:after="120"/>
      <w:jc w:val="center"/>
      <w:rPr>
        <w:i/>
        <w:lang w:eastAsia="ru-RU"/>
      </w:rPr>
    </w:pPr>
    <w:r w:rsidRPr="003D3C68">
      <w:rPr>
        <w:noProof/>
        <w:lang w:val="en-US" w:eastAsia="en-US"/>
      </w:rPr>
      <w:drawing>
        <wp:inline distT="0" distB="0" distL="0" distR="0">
          <wp:extent cx="495300" cy="666750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7607" w:rsidRPr="00940ADB" w:rsidRDefault="00677607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677607" w:rsidRPr="00D224B1" w:rsidRDefault="00677607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677607" w:rsidRPr="002D326F" w:rsidRDefault="00677607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3BE9"/>
    <w:multiLevelType w:val="hybridMultilevel"/>
    <w:tmpl w:val="F29039B0"/>
    <w:lvl w:ilvl="0" w:tplc="8D5EE4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B8691E"/>
    <w:multiLevelType w:val="hybridMultilevel"/>
    <w:tmpl w:val="E924C9A0"/>
    <w:lvl w:ilvl="0" w:tplc="96F47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F9130C"/>
    <w:multiLevelType w:val="hybridMultilevel"/>
    <w:tmpl w:val="DF4883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FE"/>
    <w:rsid w:val="000024D8"/>
    <w:rsid w:val="000051CB"/>
    <w:rsid w:val="00013740"/>
    <w:rsid w:val="0002341C"/>
    <w:rsid w:val="0002659C"/>
    <w:rsid w:val="000357ED"/>
    <w:rsid w:val="0004165A"/>
    <w:rsid w:val="00044731"/>
    <w:rsid w:val="00045D1D"/>
    <w:rsid w:val="0004642B"/>
    <w:rsid w:val="0006360D"/>
    <w:rsid w:val="0006775F"/>
    <w:rsid w:val="000764EE"/>
    <w:rsid w:val="000829A6"/>
    <w:rsid w:val="00083744"/>
    <w:rsid w:val="000944EB"/>
    <w:rsid w:val="0009544E"/>
    <w:rsid w:val="000B1085"/>
    <w:rsid w:val="000B20FD"/>
    <w:rsid w:val="000B6D43"/>
    <w:rsid w:val="000C3293"/>
    <w:rsid w:val="000D0508"/>
    <w:rsid w:val="000D390A"/>
    <w:rsid w:val="000D4E36"/>
    <w:rsid w:val="000E6BC9"/>
    <w:rsid w:val="000F435D"/>
    <w:rsid w:val="000F499C"/>
    <w:rsid w:val="000F5611"/>
    <w:rsid w:val="00104DBC"/>
    <w:rsid w:val="0011541D"/>
    <w:rsid w:val="0013113D"/>
    <w:rsid w:val="00143395"/>
    <w:rsid w:val="001441CD"/>
    <w:rsid w:val="00146007"/>
    <w:rsid w:val="001667D0"/>
    <w:rsid w:val="00172C54"/>
    <w:rsid w:val="00182817"/>
    <w:rsid w:val="00184BBE"/>
    <w:rsid w:val="001870E4"/>
    <w:rsid w:val="001928C7"/>
    <w:rsid w:val="001A19F1"/>
    <w:rsid w:val="001B0DCF"/>
    <w:rsid w:val="001B3AE2"/>
    <w:rsid w:val="001B5F29"/>
    <w:rsid w:val="001B7647"/>
    <w:rsid w:val="001C7791"/>
    <w:rsid w:val="001C77D9"/>
    <w:rsid w:val="001D570F"/>
    <w:rsid w:val="001E042B"/>
    <w:rsid w:val="001E7AD7"/>
    <w:rsid w:val="002106D0"/>
    <w:rsid w:val="00223C60"/>
    <w:rsid w:val="00225592"/>
    <w:rsid w:val="00226448"/>
    <w:rsid w:val="002306A5"/>
    <w:rsid w:val="00260CA6"/>
    <w:rsid w:val="00265B62"/>
    <w:rsid w:val="00286DAE"/>
    <w:rsid w:val="002877FE"/>
    <w:rsid w:val="00290324"/>
    <w:rsid w:val="00291716"/>
    <w:rsid w:val="002A0CA2"/>
    <w:rsid w:val="002A4896"/>
    <w:rsid w:val="002A5289"/>
    <w:rsid w:val="002B0B91"/>
    <w:rsid w:val="002B54B9"/>
    <w:rsid w:val="002C2DCD"/>
    <w:rsid w:val="002C765F"/>
    <w:rsid w:val="002D326F"/>
    <w:rsid w:val="002D4E5E"/>
    <w:rsid w:val="002E3527"/>
    <w:rsid w:val="002F4D4D"/>
    <w:rsid w:val="002F57F1"/>
    <w:rsid w:val="003008CE"/>
    <w:rsid w:val="0030333E"/>
    <w:rsid w:val="00311E74"/>
    <w:rsid w:val="0031275C"/>
    <w:rsid w:val="003136CC"/>
    <w:rsid w:val="00315093"/>
    <w:rsid w:val="00321654"/>
    <w:rsid w:val="003230FB"/>
    <w:rsid w:val="0032797E"/>
    <w:rsid w:val="00345A96"/>
    <w:rsid w:val="00347739"/>
    <w:rsid w:val="00353CB4"/>
    <w:rsid w:val="00365F54"/>
    <w:rsid w:val="00370028"/>
    <w:rsid w:val="00373F85"/>
    <w:rsid w:val="003A2B42"/>
    <w:rsid w:val="003B1634"/>
    <w:rsid w:val="003B470F"/>
    <w:rsid w:val="003C2D0A"/>
    <w:rsid w:val="003C3CA0"/>
    <w:rsid w:val="003D1392"/>
    <w:rsid w:val="003D3C68"/>
    <w:rsid w:val="003E0D1E"/>
    <w:rsid w:val="003E46A3"/>
    <w:rsid w:val="003E68C6"/>
    <w:rsid w:val="003F4EE6"/>
    <w:rsid w:val="003F59DD"/>
    <w:rsid w:val="003F63DE"/>
    <w:rsid w:val="0040244F"/>
    <w:rsid w:val="004057B7"/>
    <w:rsid w:val="00414687"/>
    <w:rsid w:val="00414922"/>
    <w:rsid w:val="00425525"/>
    <w:rsid w:val="00431CFB"/>
    <w:rsid w:val="00440501"/>
    <w:rsid w:val="00481266"/>
    <w:rsid w:val="004848C4"/>
    <w:rsid w:val="004A3B1E"/>
    <w:rsid w:val="004B34AD"/>
    <w:rsid w:val="004B5B4B"/>
    <w:rsid w:val="004C0535"/>
    <w:rsid w:val="004C0E60"/>
    <w:rsid w:val="004C440D"/>
    <w:rsid w:val="004F017A"/>
    <w:rsid w:val="004F1056"/>
    <w:rsid w:val="00506A66"/>
    <w:rsid w:val="00510897"/>
    <w:rsid w:val="00511935"/>
    <w:rsid w:val="0052131F"/>
    <w:rsid w:val="0053602F"/>
    <w:rsid w:val="005400A3"/>
    <w:rsid w:val="00543034"/>
    <w:rsid w:val="00551AFE"/>
    <w:rsid w:val="005571BE"/>
    <w:rsid w:val="00561951"/>
    <w:rsid w:val="0058719C"/>
    <w:rsid w:val="00593E50"/>
    <w:rsid w:val="005A478D"/>
    <w:rsid w:val="005B02F4"/>
    <w:rsid w:val="005B1632"/>
    <w:rsid w:val="005B6336"/>
    <w:rsid w:val="005D4F2A"/>
    <w:rsid w:val="005E1F15"/>
    <w:rsid w:val="005E4AC3"/>
    <w:rsid w:val="006052AF"/>
    <w:rsid w:val="0061673B"/>
    <w:rsid w:val="00625717"/>
    <w:rsid w:val="00630355"/>
    <w:rsid w:val="00641027"/>
    <w:rsid w:val="006455EA"/>
    <w:rsid w:val="00655C13"/>
    <w:rsid w:val="00662CF5"/>
    <w:rsid w:val="00675B80"/>
    <w:rsid w:val="00677607"/>
    <w:rsid w:val="006806CF"/>
    <w:rsid w:val="00687599"/>
    <w:rsid w:val="00696570"/>
    <w:rsid w:val="006965E6"/>
    <w:rsid w:val="006A70E8"/>
    <w:rsid w:val="006B46F9"/>
    <w:rsid w:val="006B5E4D"/>
    <w:rsid w:val="006B6393"/>
    <w:rsid w:val="006C4B73"/>
    <w:rsid w:val="006D3C79"/>
    <w:rsid w:val="006D691A"/>
    <w:rsid w:val="006E2AA8"/>
    <w:rsid w:val="006E6C74"/>
    <w:rsid w:val="0070211C"/>
    <w:rsid w:val="00707C14"/>
    <w:rsid w:val="007104B1"/>
    <w:rsid w:val="007136FA"/>
    <w:rsid w:val="007162CB"/>
    <w:rsid w:val="007167AA"/>
    <w:rsid w:val="00733DFA"/>
    <w:rsid w:val="00740197"/>
    <w:rsid w:val="007422BB"/>
    <w:rsid w:val="0075138B"/>
    <w:rsid w:val="0075219E"/>
    <w:rsid w:val="0075693C"/>
    <w:rsid w:val="00756D4E"/>
    <w:rsid w:val="007572E0"/>
    <w:rsid w:val="00764976"/>
    <w:rsid w:val="00767200"/>
    <w:rsid w:val="00780C1B"/>
    <w:rsid w:val="00782A23"/>
    <w:rsid w:val="00793689"/>
    <w:rsid w:val="007A1AC6"/>
    <w:rsid w:val="007E3166"/>
    <w:rsid w:val="007F7DC5"/>
    <w:rsid w:val="0080473F"/>
    <w:rsid w:val="00812B35"/>
    <w:rsid w:val="0081315A"/>
    <w:rsid w:val="00814434"/>
    <w:rsid w:val="00816239"/>
    <w:rsid w:val="00821F14"/>
    <w:rsid w:val="00843F94"/>
    <w:rsid w:val="008507D3"/>
    <w:rsid w:val="008511A0"/>
    <w:rsid w:val="00857A8F"/>
    <w:rsid w:val="00857D53"/>
    <w:rsid w:val="00870019"/>
    <w:rsid w:val="008706BB"/>
    <w:rsid w:val="00875D92"/>
    <w:rsid w:val="00884A53"/>
    <w:rsid w:val="00885359"/>
    <w:rsid w:val="0088755D"/>
    <w:rsid w:val="00893801"/>
    <w:rsid w:val="008B2BB6"/>
    <w:rsid w:val="008D7FA1"/>
    <w:rsid w:val="008D7FB4"/>
    <w:rsid w:val="008E23A9"/>
    <w:rsid w:val="008E5332"/>
    <w:rsid w:val="008F2B6B"/>
    <w:rsid w:val="00907999"/>
    <w:rsid w:val="009150C7"/>
    <w:rsid w:val="00920BD0"/>
    <w:rsid w:val="00935CEF"/>
    <w:rsid w:val="00940ADB"/>
    <w:rsid w:val="009479DA"/>
    <w:rsid w:val="00957F11"/>
    <w:rsid w:val="009655BC"/>
    <w:rsid w:val="009659EB"/>
    <w:rsid w:val="00967759"/>
    <w:rsid w:val="009743A6"/>
    <w:rsid w:val="00975865"/>
    <w:rsid w:val="00976395"/>
    <w:rsid w:val="009A6C6C"/>
    <w:rsid w:val="009C790C"/>
    <w:rsid w:val="009D0EFF"/>
    <w:rsid w:val="009D11D3"/>
    <w:rsid w:val="009E26E6"/>
    <w:rsid w:val="009F7BE8"/>
    <w:rsid w:val="00A05EF9"/>
    <w:rsid w:val="00A4388B"/>
    <w:rsid w:val="00A55D20"/>
    <w:rsid w:val="00A700ED"/>
    <w:rsid w:val="00A82B3C"/>
    <w:rsid w:val="00A941CF"/>
    <w:rsid w:val="00A942C4"/>
    <w:rsid w:val="00AA4706"/>
    <w:rsid w:val="00AA758F"/>
    <w:rsid w:val="00AB0000"/>
    <w:rsid w:val="00AB0802"/>
    <w:rsid w:val="00AC76BF"/>
    <w:rsid w:val="00AD08C0"/>
    <w:rsid w:val="00AE13FA"/>
    <w:rsid w:val="00AE7151"/>
    <w:rsid w:val="00B07F21"/>
    <w:rsid w:val="00B20728"/>
    <w:rsid w:val="00B210A0"/>
    <w:rsid w:val="00B37E33"/>
    <w:rsid w:val="00B41509"/>
    <w:rsid w:val="00B4159E"/>
    <w:rsid w:val="00B46554"/>
    <w:rsid w:val="00B6040D"/>
    <w:rsid w:val="00B66AD9"/>
    <w:rsid w:val="00B757AD"/>
    <w:rsid w:val="00B80FF0"/>
    <w:rsid w:val="00B8526B"/>
    <w:rsid w:val="00B86236"/>
    <w:rsid w:val="00BA0379"/>
    <w:rsid w:val="00BA30BF"/>
    <w:rsid w:val="00BA37D6"/>
    <w:rsid w:val="00BB629E"/>
    <w:rsid w:val="00BC1158"/>
    <w:rsid w:val="00BC254B"/>
    <w:rsid w:val="00BD1317"/>
    <w:rsid w:val="00BD384D"/>
    <w:rsid w:val="00BD3B9D"/>
    <w:rsid w:val="00BE47B3"/>
    <w:rsid w:val="00BE4E46"/>
    <w:rsid w:val="00BE63F8"/>
    <w:rsid w:val="00BF086E"/>
    <w:rsid w:val="00BF6D2A"/>
    <w:rsid w:val="00C02C9E"/>
    <w:rsid w:val="00C23CE5"/>
    <w:rsid w:val="00C25F6E"/>
    <w:rsid w:val="00C41953"/>
    <w:rsid w:val="00C708B5"/>
    <w:rsid w:val="00C734FD"/>
    <w:rsid w:val="00C919AB"/>
    <w:rsid w:val="00C93EB7"/>
    <w:rsid w:val="00CB0E89"/>
    <w:rsid w:val="00CB5FA1"/>
    <w:rsid w:val="00CB706B"/>
    <w:rsid w:val="00CC5569"/>
    <w:rsid w:val="00CC56EA"/>
    <w:rsid w:val="00CD1CCF"/>
    <w:rsid w:val="00CF0C1D"/>
    <w:rsid w:val="00CF1C61"/>
    <w:rsid w:val="00CF4EB6"/>
    <w:rsid w:val="00D004F5"/>
    <w:rsid w:val="00D030D3"/>
    <w:rsid w:val="00D059B1"/>
    <w:rsid w:val="00D1413C"/>
    <w:rsid w:val="00D224B1"/>
    <w:rsid w:val="00D248C9"/>
    <w:rsid w:val="00D336A2"/>
    <w:rsid w:val="00D33708"/>
    <w:rsid w:val="00D534A8"/>
    <w:rsid w:val="00D53609"/>
    <w:rsid w:val="00D56F6F"/>
    <w:rsid w:val="00D652C1"/>
    <w:rsid w:val="00D676C0"/>
    <w:rsid w:val="00D74672"/>
    <w:rsid w:val="00D8053F"/>
    <w:rsid w:val="00D83C62"/>
    <w:rsid w:val="00D86027"/>
    <w:rsid w:val="00D868A3"/>
    <w:rsid w:val="00D90AFD"/>
    <w:rsid w:val="00D9202A"/>
    <w:rsid w:val="00D96C3C"/>
    <w:rsid w:val="00DA1992"/>
    <w:rsid w:val="00DC06F7"/>
    <w:rsid w:val="00DC3285"/>
    <w:rsid w:val="00DC5FE4"/>
    <w:rsid w:val="00DD1A9B"/>
    <w:rsid w:val="00DD285F"/>
    <w:rsid w:val="00DD55F6"/>
    <w:rsid w:val="00DE0703"/>
    <w:rsid w:val="00DE1B64"/>
    <w:rsid w:val="00DE551A"/>
    <w:rsid w:val="00DE651E"/>
    <w:rsid w:val="00DF07B2"/>
    <w:rsid w:val="00DF0C6C"/>
    <w:rsid w:val="00DF0DBD"/>
    <w:rsid w:val="00DF1D72"/>
    <w:rsid w:val="00E1650A"/>
    <w:rsid w:val="00E17781"/>
    <w:rsid w:val="00E30060"/>
    <w:rsid w:val="00E32F8B"/>
    <w:rsid w:val="00E34882"/>
    <w:rsid w:val="00E41BB0"/>
    <w:rsid w:val="00E52E56"/>
    <w:rsid w:val="00E55694"/>
    <w:rsid w:val="00E56B6B"/>
    <w:rsid w:val="00E6345C"/>
    <w:rsid w:val="00E635A5"/>
    <w:rsid w:val="00E817ED"/>
    <w:rsid w:val="00E91E5D"/>
    <w:rsid w:val="00E945E9"/>
    <w:rsid w:val="00E94A8E"/>
    <w:rsid w:val="00EA1CB9"/>
    <w:rsid w:val="00EA3039"/>
    <w:rsid w:val="00EA41C8"/>
    <w:rsid w:val="00EA7FCE"/>
    <w:rsid w:val="00EB681D"/>
    <w:rsid w:val="00EC2A0A"/>
    <w:rsid w:val="00EC6E1D"/>
    <w:rsid w:val="00EC701D"/>
    <w:rsid w:val="00EE2EB2"/>
    <w:rsid w:val="00EE5907"/>
    <w:rsid w:val="00EE74D2"/>
    <w:rsid w:val="00EF5718"/>
    <w:rsid w:val="00F03E18"/>
    <w:rsid w:val="00F060EC"/>
    <w:rsid w:val="00F23D7C"/>
    <w:rsid w:val="00F2732B"/>
    <w:rsid w:val="00F33FC3"/>
    <w:rsid w:val="00F3629F"/>
    <w:rsid w:val="00F41FB9"/>
    <w:rsid w:val="00F536A4"/>
    <w:rsid w:val="00F65069"/>
    <w:rsid w:val="00F6576D"/>
    <w:rsid w:val="00F65BA2"/>
    <w:rsid w:val="00F75389"/>
    <w:rsid w:val="00F9705B"/>
    <w:rsid w:val="00FB2A36"/>
    <w:rsid w:val="00FB2E49"/>
    <w:rsid w:val="00FB3B87"/>
    <w:rsid w:val="00FC734A"/>
    <w:rsid w:val="00FD1336"/>
    <w:rsid w:val="00FE4DB5"/>
    <w:rsid w:val="00FE5A67"/>
    <w:rsid w:val="00FF4FB9"/>
    <w:rsid w:val="00FF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EE48B7-4C80-43D9-B2FA-13B12ECA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59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F59D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877FE"/>
    <w:pPr>
      <w:keepNext/>
      <w:jc w:val="center"/>
      <w:outlineLvl w:val="2"/>
    </w:pPr>
    <w:rPr>
      <w:b/>
      <w:noProof/>
      <w:sz w:val="28"/>
      <w:szCs w:val="20"/>
    </w:rPr>
  </w:style>
  <w:style w:type="paragraph" w:styleId="5">
    <w:name w:val="heading 5"/>
    <w:basedOn w:val="a"/>
    <w:next w:val="a"/>
    <w:link w:val="50"/>
    <w:qFormat/>
    <w:rsid w:val="002877FE"/>
    <w:pPr>
      <w:spacing w:before="240" w:after="60"/>
      <w:outlineLvl w:val="4"/>
    </w:pPr>
    <w:rPr>
      <w:b/>
      <w:bCs/>
      <w:i/>
      <w:iCs/>
      <w:noProof/>
      <w:sz w:val="26"/>
      <w:szCs w:val="26"/>
    </w:rPr>
  </w:style>
  <w:style w:type="paragraph" w:styleId="6">
    <w:name w:val="heading 6"/>
    <w:basedOn w:val="a"/>
    <w:next w:val="a"/>
    <w:link w:val="60"/>
    <w:qFormat/>
    <w:rsid w:val="003F59DD"/>
    <w:pPr>
      <w:jc w:val="center"/>
      <w:outlineLvl w:val="5"/>
    </w:pPr>
    <w:rPr>
      <w:b/>
      <w:bCs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9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F59DD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77FE"/>
    <w:rPr>
      <w:rFonts w:ascii="Times New Roman" w:hAnsi="Times New Roman" w:cs="Times New Roman"/>
      <w:b/>
      <w:noProof/>
      <w:sz w:val="28"/>
      <w:szCs w:val="20"/>
    </w:rPr>
  </w:style>
  <w:style w:type="character" w:customStyle="1" w:styleId="50">
    <w:name w:val="Заголовок 5 Знак"/>
    <w:basedOn w:val="a0"/>
    <w:link w:val="5"/>
    <w:rsid w:val="002877FE"/>
    <w:rPr>
      <w:rFonts w:ascii="Times New Roman" w:hAnsi="Times New Roman" w:cs="Times New Roman"/>
      <w:b/>
      <w:bCs/>
      <w:i/>
      <w:iCs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F59DD"/>
    <w:rPr>
      <w:rFonts w:ascii="Times New Roman" w:hAnsi="Times New Roman" w:cs="Times New Roman"/>
      <w:b/>
      <w:bCs/>
      <w:sz w:val="28"/>
      <w:lang w:eastAsia="ru-RU"/>
    </w:rPr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ody Text Indent"/>
    <w:basedOn w:val="a"/>
    <w:link w:val="a8"/>
    <w:rsid w:val="002877FE"/>
    <w:pPr>
      <w:ind w:firstLine="720"/>
      <w:jc w:val="center"/>
    </w:pPr>
    <w:rPr>
      <w:noProof/>
      <w:sz w:val="28"/>
      <w:szCs w:val="20"/>
    </w:rPr>
  </w:style>
  <w:style w:type="character" w:customStyle="1" w:styleId="a8">
    <w:name w:val="Основний текст з відступом Знак"/>
    <w:basedOn w:val="a0"/>
    <w:link w:val="a7"/>
    <w:rsid w:val="002877FE"/>
    <w:rPr>
      <w:rFonts w:ascii="Times New Roman" w:hAnsi="Times New Roman" w:cs="Times New Roman"/>
      <w:noProof/>
      <w:sz w:val="28"/>
      <w:szCs w:val="20"/>
    </w:rPr>
  </w:style>
  <w:style w:type="character" w:customStyle="1" w:styleId="HTML1">
    <w:name w:val="Друкарська машинка HTML1"/>
    <w:rsid w:val="002877FE"/>
    <w:rPr>
      <w:sz w:val="20"/>
    </w:rPr>
  </w:style>
  <w:style w:type="paragraph" w:styleId="a9">
    <w:name w:val="Balloon Text"/>
    <w:basedOn w:val="a"/>
    <w:link w:val="aa"/>
    <w:semiHidden/>
    <w:unhideWhenUsed/>
    <w:rsid w:val="009D11D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D11D3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9D11D3"/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3F59DD"/>
    <w:pPr>
      <w:jc w:val="both"/>
    </w:pPr>
    <w:rPr>
      <w:szCs w:val="20"/>
      <w:lang w:eastAsia="ru-RU"/>
    </w:rPr>
  </w:style>
  <w:style w:type="character" w:customStyle="1" w:styleId="ad">
    <w:name w:val="Основний текст Знак"/>
    <w:basedOn w:val="a0"/>
    <w:link w:val="ac"/>
    <w:rsid w:val="003F59DD"/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3F59DD"/>
    <w:pPr>
      <w:ind w:firstLine="720"/>
      <w:jc w:val="both"/>
    </w:pPr>
    <w:rPr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3F59DD"/>
    <w:rPr>
      <w:rFonts w:ascii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3F59DD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3F59DD"/>
    <w:pPr>
      <w:spacing w:before="100" w:beforeAutospacing="1" w:after="100" w:afterAutospacing="1"/>
    </w:pPr>
    <w:rPr>
      <w:rFonts w:eastAsia="Calibri"/>
    </w:rPr>
  </w:style>
  <w:style w:type="paragraph" w:customStyle="1" w:styleId="rvps2">
    <w:name w:val="rvps2"/>
    <w:basedOn w:val="a"/>
    <w:rsid w:val="003F59DD"/>
    <w:pPr>
      <w:spacing w:before="100" w:beforeAutospacing="1" w:after="100" w:afterAutospacing="1"/>
    </w:pPr>
  </w:style>
  <w:style w:type="paragraph" w:customStyle="1" w:styleId="23">
    <w:name w:val="Îñíîâíîé òåêñò 2"/>
    <w:basedOn w:val="a"/>
    <w:rsid w:val="003F59DD"/>
    <w:pPr>
      <w:autoSpaceDE w:val="0"/>
      <w:autoSpaceDN w:val="0"/>
      <w:adjustRightInd w:val="0"/>
      <w:ind w:left="4962"/>
    </w:pPr>
  </w:style>
  <w:style w:type="character" w:styleId="af0">
    <w:name w:val="Hyperlink"/>
    <w:uiPriority w:val="99"/>
    <w:unhideWhenUsed/>
    <w:rsid w:val="003F59DD"/>
    <w:rPr>
      <w:color w:val="0000FF"/>
      <w:u w:val="single"/>
    </w:rPr>
  </w:style>
  <w:style w:type="character" w:customStyle="1" w:styleId="rvts9">
    <w:name w:val="rvts9"/>
    <w:rsid w:val="003F59DD"/>
  </w:style>
  <w:style w:type="paragraph" w:customStyle="1" w:styleId="Default">
    <w:name w:val="Default"/>
    <w:rsid w:val="003F5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3F59DD"/>
    <w:pPr>
      <w:spacing w:after="0" w:line="240" w:lineRule="auto"/>
    </w:pPr>
    <w:rPr>
      <w:rFonts w:ascii="Calibri" w:hAnsi="Calibri" w:cs="Times New Roman"/>
    </w:rPr>
  </w:style>
  <w:style w:type="character" w:customStyle="1" w:styleId="rvts37">
    <w:name w:val="rvts37"/>
    <w:rsid w:val="003F59DD"/>
  </w:style>
  <w:style w:type="character" w:customStyle="1" w:styleId="rvts15">
    <w:name w:val="rvts15"/>
    <w:rsid w:val="003F59DD"/>
  </w:style>
  <w:style w:type="character" w:styleId="af2">
    <w:name w:val="FollowedHyperlink"/>
    <w:uiPriority w:val="99"/>
    <w:unhideWhenUsed/>
    <w:rsid w:val="003F59DD"/>
    <w:rPr>
      <w:color w:val="800080"/>
      <w:u w:val="single"/>
    </w:rPr>
  </w:style>
  <w:style w:type="character" w:customStyle="1" w:styleId="rvts11">
    <w:name w:val="rvts11"/>
    <w:rsid w:val="003F59DD"/>
  </w:style>
  <w:style w:type="character" w:customStyle="1" w:styleId="rvts40">
    <w:name w:val="rvts40"/>
    <w:rsid w:val="003F59DD"/>
  </w:style>
  <w:style w:type="character" w:customStyle="1" w:styleId="rvts44">
    <w:name w:val="rvts44"/>
    <w:rsid w:val="003F59DD"/>
  </w:style>
  <w:style w:type="paragraph" w:customStyle="1" w:styleId="rvps6">
    <w:name w:val="rvps6"/>
    <w:basedOn w:val="a"/>
    <w:rsid w:val="003F59DD"/>
    <w:pPr>
      <w:spacing w:before="100" w:beforeAutospacing="1" w:after="100" w:afterAutospacing="1"/>
    </w:pPr>
  </w:style>
  <w:style w:type="character" w:customStyle="1" w:styleId="rvts23">
    <w:name w:val="rvts23"/>
    <w:rsid w:val="003F59DD"/>
  </w:style>
  <w:style w:type="paragraph" w:customStyle="1" w:styleId="11">
    <w:name w:val="Обычный1"/>
    <w:rsid w:val="003F59D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3">
    <w:name w:val="List Paragraph"/>
    <w:basedOn w:val="a"/>
    <w:uiPriority w:val="34"/>
    <w:qFormat/>
    <w:rsid w:val="003F5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endnote text"/>
    <w:basedOn w:val="a"/>
    <w:link w:val="af5"/>
    <w:uiPriority w:val="99"/>
    <w:unhideWhenUsed/>
    <w:rsid w:val="003F59DD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кінцевої виноски Знак"/>
    <w:basedOn w:val="a0"/>
    <w:link w:val="af4"/>
    <w:uiPriority w:val="99"/>
    <w:rsid w:val="003F59DD"/>
    <w:rPr>
      <w:rFonts w:ascii="Calibri" w:eastAsia="Calibri" w:hAnsi="Calibri" w:cs="Times New Roman"/>
      <w:sz w:val="20"/>
      <w:szCs w:val="20"/>
      <w:lang w:eastAsia="en-US"/>
    </w:rPr>
  </w:style>
  <w:style w:type="character" w:styleId="af6">
    <w:name w:val="endnote reference"/>
    <w:uiPriority w:val="99"/>
    <w:unhideWhenUsed/>
    <w:rsid w:val="003F59DD"/>
    <w:rPr>
      <w:vertAlign w:val="superscript"/>
    </w:rPr>
  </w:style>
  <w:style w:type="character" w:styleId="af7">
    <w:name w:val="annotation reference"/>
    <w:rsid w:val="003F59DD"/>
    <w:rPr>
      <w:sz w:val="16"/>
      <w:szCs w:val="16"/>
    </w:rPr>
  </w:style>
  <w:style w:type="paragraph" w:styleId="af8">
    <w:name w:val="annotation text"/>
    <w:basedOn w:val="a"/>
    <w:link w:val="af9"/>
    <w:rsid w:val="003F59DD"/>
    <w:rPr>
      <w:sz w:val="20"/>
      <w:szCs w:val="20"/>
      <w:lang w:eastAsia="ru-RU"/>
    </w:rPr>
  </w:style>
  <w:style w:type="character" w:customStyle="1" w:styleId="af9">
    <w:name w:val="Текст примітки Знак"/>
    <w:basedOn w:val="a0"/>
    <w:link w:val="af8"/>
    <w:rsid w:val="003F59DD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3F59DD"/>
    <w:rPr>
      <w:b/>
      <w:bCs/>
    </w:rPr>
  </w:style>
  <w:style w:type="character" w:customStyle="1" w:styleId="afb">
    <w:name w:val="Тема примітки Знак"/>
    <w:basedOn w:val="af9"/>
    <w:link w:val="afa"/>
    <w:rsid w:val="003F59D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unhideWhenUsed/>
    <w:rsid w:val="003F59DD"/>
    <w:rPr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rsid w:val="003F59DD"/>
    <w:rPr>
      <w:rFonts w:ascii="Times New Roman" w:hAnsi="Times New Roman" w:cs="Times New Roman"/>
      <w:sz w:val="20"/>
      <w:szCs w:val="20"/>
    </w:rPr>
  </w:style>
  <w:style w:type="character" w:styleId="afe">
    <w:name w:val="footnote reference"/>
    <w:uiPriority w:val="99"/>
    <w:unhideWhenUsed/>
    <w:rsid w:val="003F59DD"/>
    <w:rPr>
      <w:vertAlign w:val="superscript"/>
    </w:rPr>
  </w:style>
  <w:style w:type="paragraph" w:customStyle="1" w:styleId="mcntmsonormal">
    <w:name w:val="mcntmsonormal"/>
    <w:basedOn w:val="a"/>
    <w:rsid w:val="003F59DD"/>
    <w:pPr>
      <w:spacing w:before="100" w:beforeAutospacing="1" w:after="100" w:afterAutospacing="1"/>
    </w:pPr>
  </w:style>
  <w:style w:type="paragraph" w:customStyle="1" w:styleId="12">
    <w:name w:val="Звичайний1"/>
    <w:rsid w:val="003F59D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rvts0">
    <w:name w:val="rvts0"/>
    <w:rsid w:val="003F59DD"/>
  </w:style>
  <w:style w:type="paragraph" w:customStyle="1" w:styleId="StyleZakonu">
    <w:name w:val="StyleZakonu"/>
    <w:basedOn w:val="a"/>
    <w:link w:val="StyleZakonu0"/>
    <w:rsid w:val="003F59DD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3F59DD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Title"/>
    <w:basedOn w:val="a"/>
    <w:next w:val="a"/>
    <w:link w:val="aff0"/>
    <w:qFormat/>
    <w:rsid w:val="003F59DD"/>
    <w:pPr>
      <w:jc w:val="center"/>
      <w:outlineLvl w:val="0"/>
    </w:pPr>
    <w:rPr>
      <w:b/>
      <w:bCs/>
      <w:kern w:val="28"/>
      <w:sz w:val="28"/>
      <w:szCs w:val="32"/>
      <w:lang w:eastAsia="ru-RU"/>
    </w:rPr>
  </w:style>
  <w:style w:type="character" w:customStyle="1" w:styleId="aff0">
    <w:name w:val="Назва Знак"/>
    <w:basedOn w:val="a0"/>
    <w:link w:val="aff"/>
    <w:rsid w:val="003F59DD"/>
    <w:rPr>
      <w:rFonts w:ascii="Times New Roman" w:hAnsi="Times New Roman" w:cs="Times New Roman"/>
      <w:b/>
      <w:bCs/>
      <w:kern w:val="28"/>
      <w:sz w:val="28"/>
      <w:szCs w:val="32"/>
      <w:lang w:eastAsia="ru-RU"/>
    </w:rPr>
  </w:style>
  <w:style w:type="character" w:customStyle="1" w:styleId="jlqj4b">
    <w:name w:val="jlqj4b"/>
    <w:rsid w:val="003F59DD"/>
  </w:style>
  <w:style w:type="character" w:customStyle="1" w:styleId="fontstyle01">
    <w:name w:val="fontstyle01"/>
    <w:basedOn w:val="a0"/>
    <w:rsid w:val="00B852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f1">
    <w:name w:val="Emphasis"/>
    <w:basedOn w:val="a0"/>
    <w:uiPriority w:val="20"/>
    <w:qFormat/>
    <w:rsid w:val="00707C1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eniia.tkachuk\Downloads\&#1041;&#1083;&#1072;&#1085;&#1082;%20&#1056;i&#1096;&#1077;&#1085;&#1085;&#1103;%20&#1050;&#1086;&#1084;i&#1089;i&#111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0EAEF-C466-47C9-BC36-E1B633A5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Рiшення Комiсiї</Template>
  <TotalTime>0</TotalTime>
  <Pages>4</Pages>
  <Words>1092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>Grizli777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creator>Admin</dc:creator>
  <dc:description>Бланк Рішення Комісії</dc:description>
  <cp:lastModifiedBy>Ксенія Ткачук</cp:lastModifiedBy>
  <cp:revision>2</cp:revision>
  <cp:lastPrinted>2021-12-28T14:02:00Z</cp:lastPrinted>
  <dcterms:created xsi:type="dcterms:W3CDTF">2022-09-05T18:37:00Z</dcterms:created>
  <dcterms:modified xsi:type="dcterms:W3CDTF">2022-09-05T18:37:00Z</dcterms:modified>
</cp:coreProperties>
</file>