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 є платником особливого податку емітент акцій при їх первинному розміщенні, викупі та повторному їх продажу?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212.1.9 п. 212.1 ст. 212 Податкового кодексу України від 02 грудня 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зі змінами та доповненнями (далі - ПКУ), платниками особливого податку на операції з відчуження цінних паперів та операцій з деривативами є фізична або юридична особа - резидент або нерезидент (в тому числі їх відокремлені підрозділи), які проводять операції з деривативами або з продажу, обміну або інших способів відчуження цінних паперів, крім випадків, передбачених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213.2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213.2.4 п. 213.2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особливим податком не оподатковуються операції між емітентом та платником податку з викупу та повторного продажу за грошові кошти, розміщення, погашення, конвертації емітентом цінних паперів власного випуску.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Отже, не оподатковуються особливим податком операції емітента з власними цінними паперами з викупу та повторного продажу за грошові кошти, розміщення, погашення та конвертації.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Пунктом 1 Порядку заповнення граф звітності з особливого податку на операції з відчуження цінних паперів та операцій з деривативами, затвердженого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наказом Міністерства доходів і зборів України від 19.07.2013 N 288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(далі - Порядок), визначено, що 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декларації з особливого податку на операції з відчуження цінних паперів та операцій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(далі - Декларація) зазначаються всі передбачені формою показники, а у разі їх відсутності графи не заповнюються.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Зокрема, загальна сума за операціями з підакцизними товарами (цінними паперами та деривативами), які не підлягають оподаткуванню, відображається у рядку 4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та розшифровується у рядках 4.1 - 4.16.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рядку 5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зазначається коригування суми за операціями з підакцизними товарами (цінними паперами та деривативами), які не підлягають оподаткуванню, та розшифровуються у рядках 5.1 - 5.16.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цьому показники "Сума за операціями з підакцизними цінними паперами та деривативами, які не підлягають оподаткуванню" та "Коригування сум за операціями з підакцизними цінними паперами та деривативами, які не підлягають оподаткуванню" відображають загальну суму операцій та коригування за операціями з відчуження цінних паперів та операціями з деривативами, які 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213.2.3 - 213.2.7 п. 213.2 ст. 213 р. VI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не підлягають оподаткуванню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9 Порядку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чином, суб'єкт господарювання, який здійснює первинне розміщення акцій, їх викуп та повторний продаж, є платником особливого податку.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Вказані операції платника податку не підлягають оподаткуванню, але відображаються ним 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