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60BA" w14:textId="77777777" w:rsidR="003D42E7" w:rsidRDefault="00950941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 wp14:anchorId="6A39F201" wp14:editId="4C05EE53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78A46" w14:textId="77777777" w:rsidR="003D42E7" w:rsidRPr="00950941" w:rsidRDefault="00950941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950941">
        <w:rPr>
          <w:rFonts w:ascii="Arial"/>
          <w:color w:val="000000"/>
          <w:sz w:val="27"/>
          <w:lang w:val="ru-RU"/>
        </w:rPr>
        <w:t>НАЦІОНАЛЬНА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КОМІСІЯ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З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ЦІННИХ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ПАПЕРІВ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ТА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ФОНДОВОГО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РИНКУ</w:t>
      </w:r>
    </w:p>
    <w:p w14:paraId="5A407CF0" w14:textId="77777777" w:rsidR="003D42E7" w:rsidRDefault="00950941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2"/>
        <w:gridCol w:w="2699"/>
        <w:gridCol w:w="3146"/>
      </w:tblGrid>
      <w:tr w:rsidR="003D42E7" w14:paraId="47B10BDA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7705F766" w14:textId="77777777" w:rsidR="003D42E7" w:rsidRDefault="00950941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30.12.2021</w:t>
            </w:r>
          </w:p>
        </w:tc>
        <w:tc>
          <w:tcPr>
            <w:tcW w:w="2907" w:type="dxa"/>
            <w:vAlign w:val="center"/>
          </w:tcPr>
          <w:p w14:paraId="3AF0F9B1" w14:textId="77777777" w:rsidR="003D42E7" w:rsidRDefault="00950941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14:paraId="49A7DC08" w14:textId="77777777" w:rsidR="003D42E7" w:rsidRDefault="00950941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1288</w:t>
            </w:r>
          </w:p>
        </w:tc>
        <w:bookmarkEnd w:id="5"/>
      </w:tr>
    </w:tbl>
    <w:p w14:paraId="6E208814" w14:textId="77777777" w:rsidR="003D42E7" w:rsidRDefault="00950941">
      <w:r>
        <w:br/>
      </w:r>
    </w:p>
    <w:p w14:paraId="711157F5" w14:textId="77777777" w:rsidR="003D42E7" w:rsidRPr="00950941" w:rsidRDefault="00950941">
      <w:pPr>
        <w:spacing w:after="0"/>
        <w:jc w:val="center"/>
        <w:rPr>
          <w:lang w:val="ru-RU"/>
        </w:rPr>
      </w:pPr>
      <w:bookmarkStart w:id="6" w:name="7"/>
      <w:r w:rsidRPr="00950941">
        <w:rPr>
          <w:rFonts w:ascii="Arial"/>
          <w:b/>
          <w:color w:val="000000"/>
          <w:sz w:val="18"/>
          <w:lang w:val="ru-RU"/>
        </w:rPr>
        <w:t>Зареєстровано</w:t>
      </w:r>
      <w:r w:rsidRPr="00950941">
        <w:rPr>
          <w:rFonts w:ascii="Arial"/>
          <w:b/>
          <w:color w:val="000000"/>
          <w:sz w:val="18"/>
          <w:lang w:val="ru-RU"/>
        </w:rPr>
        <w:t xml:space="preserve"> </w:t>
      </w:r>
      <w:r w:rsidRPr="00950941">
        <w:rPr>
          <w:rFonts w:ascii="Arial"/>
          <w:b/>
          <w:color w:val="000000"/>
          <w:sz w:val="18"/>
          <w:lang w:val="ru-RU"/>
        </w:rPr>
        <w:t>в</w:t>
      </w:r>
      <w:r w:rsidRPr="00950941">
        <w:rPr>
          <w:rFonts w:ascii="Arial"/>
          <w:b/>
          <w:color w:val="000000"/>
          <w:sz w:val="18"/>
          <w:lang w:val="ru-RU"/>
        </w:rPr>
        <w:t xml:space="preserve"> </w:t>
      </w:r>
      <w:r w:rsidRPr="00950941">
        <w:rPr>
          <w:rFonts w:ascii="Arial"/>
          <w:b/>
          <w:color w:val="000000"/>
          <w:sz w:val="18"/>
          <w:lang w:val="ru-RU"/>
        </w:rPr>
        <w:t>Міністерстві</w:t>
      </w:r>
      <w:r w:rsidRPr="00950941">
        <w:rPr>
          <w:rFonts w:ascii="Arial"/>
          <w:b/>
          <w:color w:val="000000"/>
          <w:sz w:val="18"/>
          <w:lang w:val="ru-RU"/>
        </w:rPr>
        <w:t xml:space="preserve"> </w:t>
      </w:r>
      <w:r w:rsidRPr="00950941">
        <w:rPr>
          <w:rFonts w:ascii="Arial"/>
          <w:b/>
          <w:color w:val="000000"/>
          <w:sz w:val="18"/>
          <w:lang w:val="ru-RU"/>
        </w:rPr>
        <w:t>юстиції</w:t>
      </w:r>
      <w:r w:rsidRPr="00950941">
        <w:rPr>
          <w:rFonts w:ascii="Arial"/>
          <w:b/>
          <w:color w:val="000000"/>
          <w:sz w:val="18"/>
          <w:lang w:val="ru-RU"/>
        </w:rPr>
        <w:t xml:space="preserve"> </w:t>
      </w:r>
      <w:r w:rsidRPr="00950941">
        <w:rPr>
          <w:rFonts w:ascii="Arial"/>
          <w:b/>
          <w:color w:val="000000"/>
          <w:sz w:val="18"/>
          <w:lang w:val="ru-RU"/>
        </w:rPr>
        <w:t>України</w:t>
      </w:r>
      <w:r w:rsidRPr="00950941">
        <w:rPr>
          <w:lang w:val="ru-RU"/>
        </w:rPr>
        <w:br/>
      </w:r>
      <w:r w:rsidRPr="00950941">
        <w:rPr>
          <w:rFonts w:ascii="Arial"/>
          <w:b/>
          <w:color w:val="000000"/>
          <w:sz w:val="18"/>
          <w:lang w:val="ru-RU"/>
        </w:rPr>
        <w:t xml:space="preserve">28 </w:t>
      </w:r>
      <w:r w:rsidRPr="00950941">
        <w:rPr>
          <w:rFonts w:ascii="Arial"/>
          <w:b/>
          <w:color w:val="000000"/>
          <w:sz w:val="18"/>
          <w:lang w:val="ru-RU"/>
        </w:rPr>
        <w:t>лютого</w:t>
      </w:r>
      <w:r w:rsidRPr="00950941">
        <w:rPr>
          <w:rFonts w:ascii="Arial"/>
          <w:b/>
          <w:color w:val="000000"/>
          <w:sz w:val="18"/>
          <w:lang w:val="ru-RU"/>
        </w:rPr>
        <w:t xml:space="preserve"> 2022 </w:t>
      </w:r>
      <w:r w:rsidRPr="00950941">
        <w:rPr>
          <w:rFonts w:ascii="Arial"/>
          <w:b/>
          <w:color w:val="000000"/>
          <w:sz w:val="18"/>
          <w:lang w:val="ru-RU"/>
        </w:rPr>
        <w:t>р</w:t>
      </w:r>
      <w:r w:rsidRPr="00950941">
        <w:rPr>
          <w:rFonts w:ascii="Arial"/>
          <w:b/>
          <w:color w:val="000000"/>
          <w:sz w:val="18"/>
          <w:lang w:val="ru-RU"/>
        </w:rPr>
        <w:t xml:space="preserve">. </w:t>
      </w:r>
      <w:r w:rsidRPr="00950941">
        <w:rPr>
          <w:rFonts w:ascii="Arial"/>
          <w:b/>
          <w:color w:val="000000"/>
          <w:sz w:val="18"/>
          <w:lang w:val="ru-RU"/>
        </w:rPr>
        <w:t>за</w:t>
      </w:r>
      <w:r w:rsidRPr="00950941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950941">
        <w:rPr>
          <w:rFonts w:ascii="Arial"/>
          <w:b/>
          <w:color w:val="000000"/>
          <w:sz w:val="18"/>
          <w:lang w:val="ru-RU"/>
        </w:rPr>
        <w:t xml:space="preserve"> 261/37597</w:t>
      </w:r>
    </w:p>
    <w:p w14:paraId="41683309" w14:textId="77777777" w:rsidR="003D42E7" w:rsidRDefault="00950941">
      <w:pPr>
        <w:pStyle w:val="2"/>
        <w:spacing w:after="0"/>
        <w:jc w:val="center"/>
      </w:pPr>
      <w:bookmarkStart w:id="7" w:name="8"/>
      <w:bookmarkEnd w:id="6"/>
      <w:r w:rsidRPr="00950941">
        <w:rPr>
          <w:rFonts w:ascii="Arial"/>
          <w:color w:val="000000"/>
          <w:sz w:val="27"/>
          <w:lang w:val="ru-RU"/>
        </w:rPr>
        <w:t>Про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затвердження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Стандарту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950941">
        <w:rPr>
          <w:rFonts w:ascii="Arial"/>
          <w:color w:val="000000"/>
          <w:sz w:val="27"/>
          <w:lang w:val="ru-RU"/>
        </w:rPr>
        <w:t xml:space="preserve"> 1 "</w:t>
      </w:r>
      <w:r w:rsidRPr="00950941">
        <w:rPr>
          <w:rFonts w:ascii="Arial"/>
          <w:color w:val="000000"/>
          <w:sz w:val="27"/>
          <w:lang w:val="ru-RU"/>
        </w:rPr>
        <w:t>Корпоративне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управління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в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професійних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учасниках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ринків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капіталу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та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організованих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товарних</w:t>
      </w:r>
      <w:r w:rsidRPr="00950941">
        <w:rPr>
          <w:rFonts w:ascii="Arial"/>
          <w:color w:val="000000"/>
          <w:sz w:val="27"/>
          <w:lang w:val="ru-RU"/>
        </w:rPr>
        <w:t xml:space="preserve"> </w:t>
      </w:r>
      <w:r w:rsidRPr="00950941">
        <w:rPr>
          <w:rFonts w:ascii="Arial"/>
          <w:color w:val="000000"/>
          <w:sz w:val="27"/>
          <w:lang w:val="ru-RU"/>
        </w:rPr>
        <w:t>ринків</w:t>
      </w:r>
      <w:r w:rsidRPr="00950941">
        <w:rPr>
          <w:rFonts w:ascii="Arial"/>
          <w:color w:val="000000"/>
          <w:sz w:val="27"/>
          <w:lang w:val="ru-RU"/>
        </w:rPr>
        <w:t xml:space="preserve">. </w:t>
      </w:r>
      <w:r>
        <w:rPr>
          <w:rFonts w:ascii="Arial"/>
          <w:color w:val="000000"/>
          <w:sz w:val="27"/>
        </w:rPr>
        <w:t>Основні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терміни</w:t>
      </w:r>
      <w:r>
        <w:rPr>
          <w:rFonts w:ascii="Arial"/>
          <w:color w:val="000000"/>
          <w:sz w:val="27"/>
        </w:rPr>
        <w:t>"</w:t>
      </w:r>
    </w:p>
    <w:p w14:paraId="557AC2CD" w14:textId="77777777" w:rsidR="003D42E7" w:rsidRDefault="00950941">
      <w:pPr>
        <w:spacing w:after="0"/>
        <w:ind w:firstLine="240"/>
      </w:pPr>
      <w:bookmarkStart w:id="8" w:name="9"/>
      <w:bookmarkEnd w:id="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37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инків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15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21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нку</w:t>
      </w:r>
    </w:p>
    <w:p w14:paraId="619006D7" w14:textId="77777777" w:rsidR="003D42E7" w:rsidRDefault="00950941">
      <w:pPr>
        <w:spacing w:after="0"/>
        <w:ind w:firstLine="240"/>
      </w:pPr>
      <w:bookmarkStart w:id="9" w:name="10"/>
      <w:bookmarkEnd w:id="8"/>
      <w:r>
        <w:rPr>
          <w:rFonts w:ascii="Arial"/>
          <w:b/>
          <w:color w:val="000000"/>
          <w:sz w:val="18"/>
        </w:rPr>
        <w:t>ВИРІШИЛА</w:t>
      </w:r>
      <w:r>
        <w:rPr>
          <w:rFonts w:ascii="Arial"/>
          <w:b/>
          <w:color w:val="000000"/>
          <w:sz w:val="18"/>
        </w:rPr>
        <w:t>:</w:t>
      </w:r>
    </w:p>
    <w:p w14:paraId="6D63542C" w14:textId="77777777" w:rsidR="003D42E7" w:rsidRDefault="00950941">
      <w:pPr>
        <w:spacing w:after="0"/>
        <w:ind w:firstLine="240"/>
      </w:pPr>
      <w:bookmarkStart w:id="10" w:name="11"/>
      <w:bookmarkEnd w:id="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N 1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14:paraId="16A115AC" w14:textId="77777777" w:rsidR="003D42E7" w:rsidRDefault="00950941">
      <w:pPr>
        <w:spacing w:after="0"/>
        <w:ind w:firstLine="240"/>
      </w:pPr>
      <w:bookmarkStart w:id="11" w:name="12"/>
      <w:bookmarkEnd w:id="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Рекомендувати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.</w:t>
      </w:r>
    </w:p>
    <w:p w14:paraId="3CC91A5C" w14:textId="77777777" w:rsidR="003D42E7" w:rsidRDefault="00950941">
      <w:pPr>
        <w:spacing w:after="0"/>
        <w:ind w:firstLine="240"/>
      </w:pPr>
      <w:bookmarkStart w:id="12" w:name="13"/>
      <w:bookmarkEnd w:id="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Департаменту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Пересунько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.)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>:</w:t>
      </w:r>
    </w:p>
    <w:p w14:paraId="0A052214" w14:textId="77777777" w:rsidR="003D42E7" w:rsidRDefault="00950941">
      <w:pPr>
        <w:spacing w:after="0"/>
        <w:ind w:firstLine="240"/>
      </w:pPr>
      <w:bookmarkStart w:id="13" w:name="14"/>
      <w:bookmarkEnd w:id="12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14:paraId="01F906E7" w14:textId="77777777" w:rsidR="003D42E7" w:rsidRDefault="00950941">
      <w:pPr>
        <w:spacing w:after="0"/>
        <w:ind w:firstLine="240"/>
      </w:pPr>
      <w:bookmarkStart w:id="14" w:name="15"/>
      <w:bookmarkEnd w:id="13"/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498A70C8" w14:textId="77777777" w:rsidR="003D42E7" w:rsidRDefault="00950941">
      <w:pPr>
        <w:spacing w:after="0"/>
        <w:ind w:firstLine="240"/>
      </w:pPr>
      <w:bookmarkStart w:id="15" w:name="16"/>
      <w:bookmarkEnd w:id="1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>.</w:t>
      </w:r>
    </w:p>
    <w:p w14:paraId="5F159095" w14:textId="77777777" w:rsidR="003D42E7" w:rsidRDefault="00950941">
      <w:pPr>
        <w:spacing w:after="0"/>
        <w:ind w:firstLine="240"/>
      </w:pPr>
      <w:bookmarkStart w:id="16" w:name="17"/>
      <w:bookmarkEnd w:id="1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Лібанова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.</w:t>
      </w:r>
    </w:p>
    <w:p w14:paraId="5958927F" w14:textId="77777777" w:rsidR="003D42E7" w:rsidRDefault="00950941">
      <w:pPr>
        <w:spacing w:after="0"/>
        <w:ind w:firstLine="240"/>
      </w:pPr>
      <w:bookmarkStart w:id="17" w:name="18"/>
      <w:bookmarkEnd w:id="16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3D42E7" w14:paraId="32674901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5F90155" w14:textId="77777777" w:rsidR="003D42E7" w:rsidRDefault="00950941">
            <w:pPr>
              <w:spacing w:after="0"/>
              <w:jc w:val="center"/>
            </w:pPr>
            <w:bookmarkStart w:id="18" w:name="19"/>
            <w:bookmarkEnd w:id="17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14:paraId="2CB4E2A3" w14:textId="77777777" w:rsidR="003D42E7" w:rsidRDefault="00950941">
            <w:pPr>
              <w:spacing w:after="0"/>
              <w:jc w:val="center"/>
            </w:pPr>
            <w:bookmarkStart w:id="19" w:name="20"/>
            <w:bookmarkEnd w:id="18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19"/>
      </w:tr>
    </w:tbl>
    <w:p w14:paraId="3F687146" w14:textId="77777777" w:rsidR="003D42E7" w:rsidRDefault="00950941">
      <w:r>
        <w:br/>
      </w:r>
    </w:p>
    <w:p w14:paraId="24CE4FF7" w14:textId="77777777" w:rsidR="003D42E7" w:rsidRDefault="00950941">
      <w:pPr>
        <w:spacing w:after="0"/>
        <w:ind w:firstLine="240"/>
      </w:pPr>
      <w:bookmarkStart w:id="20" w:name="21"/>
      <w:r>
        <w:rPr>
          <w:rFonts w:ascii="Arial"/>
          <w:color w:val="000000"/>
          <w:sz w:val="18"/>
        </w:rPr>
        <w:t xml:space="preserve"> </w:t>
      </w:r>
    </w:p>
    <w:p w14:paraId="19DE7FCA" w14:textId="77777777" w:rsidR="003D42E7" w:rsidRDefault="00950941">
      <w:pPr>
        <w:spacing w:after="0"/>
        <w:ind w:firstLine="240"/>
        <w:jc w:val="right"/>
      </w:pPr>
      <w:bookmarkStart w:id="21" w:name="22"/>
      <w:bookmarkEnd w:id="20"/>
      <w:r>
        <w:rPr>
          <w:rFonts w:ascii="Arial"/>
          <w:color w:val="000000"/>
          <w:sz w:val="18"/>
        </w:rPr>
        <w:lastRenderedPageBreak/>
        <w:t>Протокол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</w:t>
      </w:r>
    </w:p>
    <w:p w14:paraId="07D91FAF" w14:textId="77777777" w:rsidR="003D42E7" w:rsidRDefault="00950941">
      <w:pPr>
        <w:spacing w:after="0"/>
        <w:ind w:firstLine="240"/>
      </w:pPr>
      <w:bookmarkStart w:id="22" w:name="23"/>
      <w:bookmarkEnd w:id="21"/>
      <w:r>
        <w:rPr>
          <w:rFonts w:ascii="Arial"/>
          <w:color w:val="000000"/>
          <w:sz w:val="18"/>
        </w:rPr>
        <w:t xml:space="preserve"> </w:t>
      </w:r>
    </w:p>
    <w:p w14:paraId="2FA13200" w14:textId="77777777" w:rsidR="003D42E7" w:rsidRDefault="00950941">
      <w:pPr>
        <w:spacing w:after="0"/>
        <w:ind w:firstLine="240"/>
        <w:jc w:val="right"/>
      </w:pPr>
      <w:bookmarkStart w:id="23" w:name="24"/>
      <w:bookmarkEnd w:id="22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1288</w:t>
      </w:r>
    </w:p>
    <w:p w14:paraId="5607F108" w14:textId="77777777" w:rsidR="003D42E7" w:rsidRDefault="00950941">
      <w:pPr>
        <w:pStyle w:val="3"/>
        <w:spacing w:after="0"/>
        <w:jc w:val="center"/>
      </w:pPr>
      <w:bookmarkStart w:id="24" w:name="25"/>
      <w:bookmarkEnd w:id="23"/>
      <w:r>
        <w:rPr>
          <w:rFonts w:ascii="Arial"/>
          <w:color w:val="000000"/>
          <w:sz w:val="27"/>
        </w:rPr>
        <w:t>СТАНДАРТ</w:t>
      </w:r>
      <w:r>
        <w:rPr>
          <w:rFonts w:ascii="Arial"/>
          <w:color w:val="000000"/>
          <w:sz w:val="27"/>
        </w:rPr>
        <w:t xml:space="preserve"> N 1</w:t>
      </w:r>
      <w:r>
        <w:br/>
      </w:r>
      <w:r>
        <w:rPr>
          <w:rFonts w:ascii="Arial"/>
          <w:color w:val="000000"/>
          <w:sz w:val="27"/>
        </w:rPr>
        <w:t>"</w:t>
      </w:r>
      <w:r>
        <w:rPr>
          <w:rFonts w:ascii="Arial"/>
          <w:color w:val="000000"/>
          <w:sz w:val="27"/>
        </w:rPr>
        <w:t>Корпоративне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Основні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терміни</w:t>
      </w:r>
      <w:r>
        <w:rPr>
          <w:rFonts w:ascii="Arial"/>
          <w:color w:val="000000"/>
          <w:sz w:val="27"/>
        </w:rPr>
        <w:t>"</w:t>
      </w:r>
    </w:p>
    <w:p w14:paraId="09B6A13E" w14:textId="77777777" w:rsidR="003D42E7" w:rsidRDefault="00950941">
      <w:pPr>
        <w:pStyle w:val="3"/>
        <w:spacing w:after="0"/>
        <w:jc w:val="center"/>
      </w:pPr>
      <w:bookmarkStart w:id="25" w:name="26"/>
      <w:bookmarkEnd w:id="24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Мета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>нципи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основні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поняття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корпоративного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</w:p>
    <w:p w14:paraId="3E547920" w14:textId="77777777" w:rsidR="003D42E7" w:rsidRDefault="00950941">
      <w:pPr>
        <w:spacing w:after="0"/>
        <w:ind w:firstLine="240"/>
      </w:pPr>
      <w:bookmarkStart w:id="26" w:name="27"/>
      <w:bookmarkEnd w:id="2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термінологію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>.</w:t>
      </w:r>
    </w:p>
    <w:p w14:paraId="49B7A3E8" w14:textId="77777777" w:rsidR="003D42E7" w:rsidRDefault="00950941">
      <w:pPr>
        <w:spacing w:after="0"/>
        <w:ind w:firstLine="240"/>
      </w:pPr>
      <w:bookmarkStart w:id="27" w:name="28"/>
      <w:bookmarkEnd w:id="26"/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>.</w:t>
      </w:r>
    </w:p>
    <w:p w14:paraId="2517C89C" w14:textId="77777777" w:rsidR="003D42E7" w:rsidRDefault="00950941">
      <w:pPr>
        <w:spacing w:after="0"/>
        <w:ind w:firstLine="240"/>
      </w:pPr>
      <w:bookmarkStart w:id="28" w:name="29"/>
      <w:bookmarkEnd w:id="2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:</w:t>
      </w:r>
    </w:p>
    <w:p w14:paraId="1C77CD89" w14:textId="77777777" w:rsidR="003D42E7" w:rsidRDefault="00950941">
      <w:pPr>
        <w:spacing w:after="0"/>
        <w:ind w:firstLine="240"/>
      </w:pPr>
      <w:bookmarkStart w:id="29" w:name="30"/>
      <w:bookmarkEnd w:id="2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14:paraId="3B14B179" w14:textId="77777777" w:rsidR="003D42E7" w:rsidRDefault="00950941">
      <w:pPr>
        <w:spacing w:after="0"/>
        <w:ind w:firstLine="240"/>
      </w:pPr>
      <w:bookmarkStart w:id="30" w:name="31"/>
      <w:bookmarkEnd w:id="2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";</w:t>
      </w:r>
    </w:p>
    <w:p w14:paraId="23E94B58" w14:textId="77777777" w:rsidR="003D42E7" w:rsidRDefault="00950941">
      <w:pPr>
        <w:spacing w:after="0"/>
        <w:ind w:firstLine="240"/>
      </w:pPr>
      <w:bookmarkStart w:id="31" w:name="32"/>
      <w:bookmarkEnd w:id="3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</w:t>
      </w:r>
      <w:r>
        <w:rPr>
          <w:rFonts w:ascii="Arial"/>
          <w:color w:val="000000"/>
          <w:sz w:val="18"/>
        </w:rPr>
        <w:t>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47FC4762" w14:textId="77777777" w:rsidR="003D42E7" w:rsidRDefault="00950941">
      <w:pPr>
        <w:spacing w:after="0"/>
        <w:ind w:firstLine="240"/>
      </w:pPr>
      <w:bookmarkStart w:id="32" w:name="33"/>
      <w:bookmarkEnd w:id="3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стейкхолдерами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>:</w:t>
      </w:r>
    </w:p>
    <w:p w14:paraId="344B6154" w14:textId="77777777" w:rsidR="003D42E7" w:rsidRDefault="00950941">
      <w:pPr>
        <w:spacing w:after="0"/>
        <w:ind w:firstLine="240"/>
      </w:pPr>
      <w:bookmarkStart w:id="33" w:name="34"/>
      <w:bookmarkEnd w:id="3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інвестиціям</w:t>
      </w:r>
      <w:r>
        <w:rPr>
          <w:rFonts w:ascii="Arial"/>
          <w:color w:val="000000"/>
          <w:sz w:val="18"/>
        </w:rPr>
        <w:t>;</w:t>
      </w:r>
    </w:p>
    <w:p w14:paraId="4AE1AE7A" w14:textId="77777777" w:rsidR="003D42E7" w:rsidRDefault="00950941">
      <w:pPr>
        <w:spacing w:after="0"/>
        <w:ind w:firstLine="240"/>
      </w:pPr>
      <w:bookmarkStart w:id="34" w:name="35"/>
      <w:bookmarkEnd w:id="3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;</w:t>
      </w:r>
    </w:p>
    <w:p w14:paraId="4EEF6BCA" w14:textId="77777777" w:rsidR="003D42E7" w:rsidRDefault="00950941">
      <w:pPr>
        <w:spacing w:after="0"/>
        <w:ind w:firstLine="240"/>
      </w:pPr>
      <w:bookmarkStart w:id="35" w:name="36"/>
      <w:bookmarkEnd w:id="3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>.</w:t>
      </w:r>
    </w:p>
    <w:p w14:paraId="52070CAF" w14:textId="77777777" w:rsidR="003D42E7" w:rsidRDefault="00950941">
      <w:pPr>
        <w:spacing w:after="0"/>
        <w:ind w:firstLine="240"/>
      </w:pPr>
      <w:bookmarkStart w:id="36" w:name="37"/>
      <w:bookmarkEnd w:id="3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</w:t>
      </w:r>
      <w:r>
        <w:rPr>
          <w:rFonts w:ascii="Arial"/>
          <w:color w:val="000000"/>
          <w:sz w:val="18"/>
        </w:rPr>
        <w:t>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737E696B" w14:textId="77777777" w:rsidR="003D42E7" w:rsidRDefault="00950941">
      <w:pPr>
        <w:spacing w:after="0"/>
        <w:ind w:firstLine="240"/>
      </w:pPr>
      <w:bookmarkStart w:id="37" w:name="38"/>
      <w:bookmarkEnd w:id="3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ефективне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539F1186" w14:textId="77777777" w:rsidR="003D42E7" w:rsidRDefault="00950941">
      <w:pPr>
        <w:spacing w:after="0"/>
        <w:ind w:firstLine="240"/>
      </w:pPr>
      <w:bookmarkStart w:id="38" w:name="39"/>
      <w:bookmarkEnd w:id="3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8703200" w14:textId="77777777" w:rsidR="003D42E7" w:rsidRDefault="00950941">
      <w:pPr>
        <w:spacing w:after="0"/>
        <w:ind w:firstLine="240"/>
      </w:pPr>
      <w:bookmarkStart w:id="39" w:name="40"/>
      <w:bookmarkEnd w:id="3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;</w:t>
      </w:r>
    </w:p>
    <w:p w14:paraId="233AE831" w14:textId="77777777" w:rsidR="003D42E7" w:rsidRDefault="00950941">
      <w:pPr>
        <w:spacing w:after="0"/>
        <w:ind w:firstLine="240"/>
      </w:pPr>
      <w:bookmarkStart w:id="40" w:name="41"/>
      <w:bookmarkEnd w:id="3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.</w:t>
      </w:r>
    </w:p>
    <w:p w14:paraId="25EA7080" w14:textId="77777777" w:rsidR="003D42E7" w:rsidRDefault="00950941">
      <w:pPr>
        <w:spacing w:after="0"/>
        <w:ind w:firstLine="240"/>
      </w:pPr>
      <w:bookmarkStart w:id="41" w:name="42"/>
      <w:bookmarkEnd w:id="4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побудови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>.</w:t>
      </w:r>
    </w:p>
    <w:p w14:paraId="2DEAAA07" w14:textId="77777777" w:rsidR="003D42E7" w:rsidRDefault="00950941">
      <w:pPr>
        <w:spacing w:after="0"/>
        <w:ind w:firstLine="240"/>
      </w:pPr>
      <w:bookmarkStart w:id="42" w:name="43"/>
      <w:bookmarkEnd w:id="41"/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залежати</w:t>
      </w:r>
      <w:r>
        <w:rPr>
          <w:rFonts w:ascii="Arial"/>
          <w:color w:val="000000"/>
          <w:sz w:val="18"/>
        </w:rPr>
        <w:t>:</w:t>
      </w:r>
    </w:p>
    <w:p w14:paraId="1E89ABFB" w14:textId="77777777" w:rsidR="003D42E7" w:rsidRDefault="00950941">
      <w:pPr>
        <w:spacing w:after="0"/>
        <w:ind w:firstLine="240"/>
      </w:pPr>
      <w:bookmarkStart w:id="43" w:name="44"/>
      <w:bookmarkEnd w:id="42"/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22978311" w14:textId="77777777" w:rsidR="003D42E7" w:rsidRDefault="00950941">
      <w:pPr>
        <w:spacing w:after="0"/>
        <w:ind w:firstLine="240"/>
      </w:pPr>
      <w:bookmarkStart w:id="44" w:name="45"/>
      <w:bookmarkEnd w:id="43"/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;</w:t>
      </w:r>
    </w:p>
    <w:p w14:paraId="298BF693" w14:textId="77777777" w:rsidR="003D42E7" w:rsidRDefault="00950941">
      <w:pPr>
        <w:spacing w:after="0"/>
        <w:ind w:firstLine="240"/>
      </w:pPr>
      <w:bookmarkStart w:id="45" w:name="46"/>
      <w:bookmarkEnd w:id="44"/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797F1F3E" w14:textId="77777777" w:rsidR="003D42E7" w:rsidRDefault="00950941">
      <w:pPr>
        <w:spacing w:after="0"/>
        <w:ind w:firstLine="240"/>
      </w:pPr>
      <w:bookmarkStart w:id="46" w:name="47"/>
      <w:bookmarkEnd w:id="45"/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CDE966B" w14:textId="77777777" w:rsidR="003D42E7" w:rsidRDefault="00950941">
      <w:pPr>
        <w:spacing w:after="0"/>
        <w:ind w:firstLine="240"/>
      </w:pPr>
      <w:bookmarkStart w:id="47" w:name="48"/>
      <w:bookmarkEnd w:id="46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118.</w:t>
      </w:r>
    </w:p>
    <w:p w14:paraId="223D5B51" w14:textId="77777777" w:rsidR="003D42E7" w:rsidRDefault="00950941">
      <w:pPr>
        <w:spacing w:after="0"/>
        <w:ind w:firstLine="240"/>
      </w:pPr>
      <w:bookmarkStart w:id="48" w:name="49"/>
      <w:bookmarkEnd w:id="4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</w:t>
      </w:r>
      <w:r>
        <w:rPr>
          <w:rFonts w:ascii="Arial"/>
          <w:color w:val="000000"/>
          <w:sz w:val="18"/>
        </w:rPr>
        <w:t>іяні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вищий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14:paraId="26E5011A" w14:textId="77777777" w:rsidR="003D42E7" w:rsidRDefault="00950941">
      <w:pPr>
        <w:spacing w:after="0"/>
        <w:ind w:firstLine="240"/>
      </w:pPr>
      <w:bookmarkStart w:id="49" w:name="50"/>
      <w:bookmarkEnd w:id="48"/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>).</w:t>
      </w:r>
    </w:p>
    <w:p w14:paraId="3A6811A5" w14:textId="77777777" w:rsidR="003D42E7" w:rsidRDefault="00950941">
      <w:pPr>
        <w:spacing w:after="0"/>
        <w:ind w:firstLine="240"/>
      </w:pPr>
      <w:bookmarkStart w:id="50" w:name="51"/>
      <w:bookmarkEnd w:id="4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4579C08E" w14:textId="77777777" w:rsidR="003D42E7" w:rsidRDefault="00950941">
      <w:pPr>
        <w:spacing w:after="0"/>
        <w:ind w:firstLine="240"/>
      </w:pPr>
      <w:bookmarkStart w:id="51" w:name="52"/>
      <w:bookmarkEnd w:id="50"/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".</w:t>
      </w:r>
    </w:p>
    <w:p w14:paraId="6ADCEAB7" w14:textId="77777777" w:rsidR="003D42E7" w:rsidRDefault="00950941">
      <w:pPr>
        <w:spacing w:after="0"/>
        <w:ind w:firstLine="240"/>
      </w:pPr>
      <w:bookmarkStart w:id="52" w:name="53"/>
      <w:bookmarkEnd w:id="51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>,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.</w:t>
      </w:r>
    </w:p>
    <w:p w14:paraId="3825543C" w14:textId="77777777" w:rsidR="003D42E7" w:rsidRDefault="00950941">
      <w:pPr>
        <w:spacing w:after="0"/>
        <w:ind w:firstLine="240"/>
      </w:pPr>
      <w:bookmarkStart w:id="53" w:name="54"/>
      <w:bookmarkEnd w:id="52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>.</w:t>
      </w:r>
    </w:p>
    <w:p w14:paraId="0B1D4F0D" w14:textId="77777777" w:rsidR="003D42E7" w:rsidRDefault="00950941">
      <w:pPr>
        <w:spacing w:after="0"/>
        <w:ind w:firstLine="240"/>
      </w:pPr>
      <w:bookmarkStart w:id="54" w:name="55"/>
      <w:bookmarkEnd w:id="53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7E6E639C" w14:textId="77777777" w:rsidR="003D42E7" w:rsidRDefault="00950941">
      <w:pPr>
        <w:spacing w:after="0"/>
        <w:ind w:firstLine="240"/>
      </w:pPr>
      <w:bookmarkStart w:id="55" w:name="56"/>
      <w:bookmarkEnd w:id="54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</w:t>
      </w:r>
      <w:r>
        <w:rPr>
          <w:rFonts w:ascii="Arial"/>
          <w:color w:val="000000"/>
          <w:sz w:val="18"/>
        </w:rPr>
        <w:t>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6BF05938" w14:textId="77777777" w:rsidR="003D42E7" w:rsidRDefault="00950941">
      <w:pPr>
        <w:spacing w:after="0"/>
        <w:ind w:firstLine="240"/>
      </w:pPr>
      <w:bookmarkStart w:id="56" w:name="57"/>
      <w:bookmarkEnd w:id="55"/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</w:t>
      </w:r>
      <w:r>
        <w:rPr>
          <w:rFonts w:ascii="Arial"/>
          <w:color w:val="000000"/>
          <w:sz w:val="18"/>
        </w:rPr>
        <w:t>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7E9BBBCA" w14:textId="77777777" w:rsidR="003D42E7" w:rsidRDefault="00950941">
      <w:pPr>
        <w:spacing w:after="0"/>
        <w:ind w:firstLine="240"/>
      </w:pPr>
      <w:bookmarkStart w:id="57" w:name="58"/>
      <w:bookmarkEnd w:id="56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</w:t>
      </w:r>
      <w:r>
        <w:rPr>
          <w:rFonts w:ascii="Arial"/>
          <w:color w:val="000000"/>
          <w:sz w:val="18"/>
        </w:rPr>
        <w:t>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>.</w:t>
      </w:r>
    </w:p>
    <w:p w14:paraId="37803DBA" w14:textId="77777777" w:rsidR="003D42E7" w:rsidRDefault="00950941">
      <w:pPr>
        <w:spacing w:after="0"/>
        <w:ind w:firstLine="240"/>
      </w:pPr>
      <w:bookmarkStart w:id="58" w:name="59"/>
      <w:bookmarkEnd w:id="57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ефективну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</w:t>
      </w:r>
      <w:r>
        <w:rPr>
          <w:rFonts w:ascii="Arial"/>
          <w:color w:val="000000"/>
          <w:sz w:val="18"/>
        </w:rPr>
        <w:t>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4DCCE076" w14:textId="77777777" w:rsidR="003D42E7" w:rsidRDefault="00950941">
      <w:pPr>
        <w:spacing w:after="0"/>
        <w:ind w:firstLine="240"/>
      </w:pPr>
      <w:bookmarkStart w:id="59" w:name="60"/>
      <w:bookmarkEnd w:id="58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.</w:t>
      </w:r>
    </w:p>
    <w:p w14:paraId="47CBEB2E" w14:textId="77777777" w:rsidR="003D42E7" w:rsidRDefault="00950941">
      <w:pPr>
        <w:spacing w:after="0"/>
        <w:ind w:firstLine="240"/>
      </w:pPr>
      <w:bookmarkStart w:id="60" w:name="61"/>
      <w:bookmarkEnd w:id="59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ліній</w:t>
      </w:r>
      <w:r>
        <w:rPr>
          <w:rFonts w:ascii="Arial"/>
          <w:color w:val="000000"/>
          <w:sz w:val="18"/>
        </w:rPr>
        <w:t>):</w:t>
      </w:r>
    </w:p>
    <w:p w14:paraId="750A1528" w14:textId="77777777" w:rsidR="003D42E7" w:rsidRDefault="00950941">
      <w:pPr>
        <w:spacing w:after="0"/>
        <w:ind w:firstLine="240"/>
      </w:pPr>
      <w:bookmarkStart w:id="61" w:name="62"/>
      <w:bookmarkEnd w:id="60"/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EDA8A62" w14:textId="77777777" w:rsidR="003D42E7" w:rsidRDefault="00950941">
      <w:pPr>
        <w:spacing w:after="0"/>
        <w:ind w:firstLine="240"/>
      </w:pPr>
      <w:bookmarkStart w:id="62" w:name="63"/>
      <w:bookmarkEnd w:id="61"/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40FB85FA" w14:textId="77777777" w:rsidR="003D42E7" w:rsidRDefault="00950941">
      <w:pPr>
        <w:spacing w:after="0"/>
        <w:ind w:firstLine="240"/>
      </w:pPr>
      <w:bookmarkStart w:id="63" w:name="64"/>
      <w:bookmarkEnd w:id="62"/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лінія</w:t>
      </w:r>
      <w:r>
        <w:rPr>
          <w:rFonts w:ascii="Arial"/>
          <w:color w:val="000000"/>
          <w:sz w:val="18"/>
        </w:rPr>
        <w:t xml:space="preserve"> 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0C4FA064" w14:textId="77777777" w:rsidR="003D42E7" w:rsidRDefault="00950941">
      <w:pPr>
        <w:spacing w:after="0"/>
        <w:ind w:firstLine="240"/>
      </w:pPr>
      <w:bookmarkStart w:id="64" w:name="65"/>
      <w:bookmarkEnd w:id="63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65C8C443" w14:textId="77777777" w:rsidR="003D42E7" w:rsidRDefault="00950941">
      <w:pPr>
        <w:spacing w:after="0"/>
        <w:ind w:firstLine="240"/>
      </w:pPr>
      <w:bookmarkStart w:id="65" w:name="66"/>
      <w:bookmarkEnd w:id="64"/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</w:t>
      </w:r>
      <w:r>
        <w:rPr>
          <w:rFonts w:ascii="Arial"/>
          <w:color w:val="000000"/>
          <w:sz w:val="18"/>
        </w:rPr>
        <w:t>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безумовний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621E376C" w14:textId="77777777" w:rsidR="003D42E7" w:rsidRDefault="00950941">
      <w:pPr>
        <w:spacing w:after="0"/>
        <w:ind w:firstLine="240"/>
      </w:pPr>
      <w:bookmarkStart w:id="66" w:name="67"/>
      <w:bookmarkEnd w:id="65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стейкхолдерами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вичерпно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>.</w:t>
      </w:r>
    </w:p>
    <w:p w14:paraId="3C411874" w14:textId="77777777" w:rsidR="003D42E7" w:rsidRDefault="00950941">
      <w:pPr>
        <w:spacing w:after="0"/>
        <w:ind w:firstLine="240"/>
      </w:pPr>
      <w:bookmarkStart w:id="67" w:name="68"/>
      <w:bookmarkEnd w:id="66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підконтрольним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14:paraId="2853FB66" w14:textId="77777777" w:rsidR="003D42E7" w:rsidRDefault="00950941">
      <w:pPr>
        <w:spacing w:after="0"/>
        <w:ind w:firstLine="240"/>
      </w:pPr>
      <w:bookmarkStart w:id="68" w:name="69"/>
      <w:bookmarkEnd w:id="67"/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взаємозв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</w:t>
      </w:r>
      <w:r>
        <w:rPr>
          <w:rFonts w:ascii="Arial"/>
          <w:color w:val="000000"/>
          <w:sz w:val="18"/>
        </w:rPr>
        <w:t>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14:paraId="38E0490E" w14:textId="77777777" w:rsidR="003D42E7" w:rsidRDefault="00950941">
      <w:pPr>
        <w:spacing w:after="0"/>
        <w:ind w:firstLine="240"/>
      </w:pPr>
      <w:bookmarkStart w:id="69" w:name="70"/>
      <w:bookmarkEnd w:id="68"/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</w:t>
      </w:r>
      <w:r>
        <w:rPr>
          <w:rFonts w:ascii="Arial"/>
          <w:color w:val="000000"/>
          <w:sz w:val="18"/>
        </w:rPr>
        <w:t>ядками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</w:t>
      </w:r>
      <w:r>
        <w:rPr>
          <w:rFonts w:ascii="Arial"/>
          <w:color w:val="000000"/>
          <w:sz w:val="18"/>
        </w:rPr>
        <w:t>.</w:t>
      </w:r>
    </w:p>
    <w:p w14:paraId="0F5F5F21" w14:textId="77777777" w:rsidR="003D42E7" w:rsidRDefault="00950941">
      <w:pPr>
        <w:spacing w:after="0"/>
        <w:ind w:firstLine="240"/>
      </w:pPr>
      <w:bookmarkStart w:id="70" w:name="71"/>
      <w:bookmarkEnd w:id="69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</w:t>
      </w:r>
      <w:r>
        <w:rPr>
          <w:rFonts w:ascii="Arial"/>
          <w:color w:val="000000"/>
          <w:sz w:val="18"/>
        </w:rPr>
        <w:t>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</w:t>
      </w:r>
      <w:r>
        <w:rPr>
          <w:rFonts w:ascii="Arial"/>
          <w:color w:val="000000"/>
          <w:sz w:val="18"/>
        </w:rPr>
        <w:t>увати</w:t>
      </w:r>
      <w:r>
        <w:rPr>
          <w:rFonts w:ascii="Arial"/>
          <w:color w:val="000000"/>
          <w:sz w:val="18"/>
        </w:rPr>
        <w:t>.</w:t>
      </w:r>
    </w:p>
    <w:p w14:paraId="58D11B93" w14:textId="77777777" w:rsidR="003D42E7" w:rsidRDefault="00950941">
      <w:pPr>
        <w:spacing w:after="0"/>
        <w:ind w:firstLine="240"/>
      </w:pPr>
      <w:bookmarkStart w:id="71" w:name="72"/>
      <w:bookmarkEnd w:id="70"/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аналогічного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днаковою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тотожними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>.</w:t>
      </w:r>
    </w:p>
    <w:p w14:paraId="691BC525" w14:textId="77777777" w:rsidR="003D42E7" w:rsidRDefault="00950941">
      <w:pPr>
        <w:spacing w:after="0"/>
        <w:ind w:firstLine="240"/>
      </w:pPr>
      <w:bookmarkStart w:id="72" w:name="73"/>
      <w:bookmarkEnd w:id="71"/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порядків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взаємоузгоджуватися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).</w:t>
      </w:r>
    </w:p>
    <w:p w14:paraId="6967081C" w14:textId="77777777" w:rsidR="003D42E7" w:rsidRDefault="00950941">
      <w:pPr>
        <w:spacing w:after="0"/>
        <w:ind w:firstLine="240"/>
      </w:pPr>
      <w:bookmarkStart w:id="73" w:name="74"/>
      <w:bookmarkEnd w:id="72"/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підконтрольними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одноосібн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14:paraId="30AF1B0D" w14:textId="77777777" w:rsidR="003D42E7" w:rsidRDefault="00950941">
      <w:pPr>
        <w:spacing w:after="0"/>
        <w:ind w:firstLine="240"/>
      </w:pPr>
      <w:bookmarkStart w:id="74" w:name="75"/>
      <w:bookmarkEnd w:id="73"/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8AD8562" w14:textId="77777777" w:rsidR="003D42E7" w:rsidRDefault="00950941">
      <w:pPr>
        <w:spacing w:after="0"/>
        <w:ind w:firstLine="240"/>
      </w:pPr>
      <w:bookmarkStart w:id="75" w:name="76"/>
      <w:bookmarkEnd w:id="74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>.</w:t>
      </w:r>
    </w:p>
    <w:p w14:paraId="43E2DB44" w14:textId="77777777" w:rsidR="003D42E7" w:rsidRDefault="00950941">
      <w:pPr>
        <w:spacing w:after="0"/>
        <w:ind w:firstLine="240"/>
      </w:pPr>
      <w:bookmarkStart w:id="76" w:name="77"/>
      <w:bookmarkEnd w:id="7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оприлюдненню</w:t>
      </w:r>
      <w:r>
        <w:rPr>
          <w:rFonts w:ascii="Arial"/>
          <w:color w:val="000000"/>
          <w:sz w:val="18"/>
        </w:rPr>
        <w:t>.</w:t>
      </w:r>
    </w:p>
    <w:p w14:paraId="7102914C" w14:textId="77777777" w:rsidR="003D42E7" w:rsidRDefault="00950941">
      <w:pPr>
        <w:spacing w:after="0"/>
        <w:ind w:firstLine="240"/>
      </w:pPr>
      <w:bookmarkStart w:id="77" w:name="78"/>
      <w:bookmarkEnd w:id="76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аналізуються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0A8D0966" w14:textId="77777777" w:rsidR="003D42E7" w:rsidRDefault="00950941">
      <w:pPr>
        <w:spacing w:after="0"/>
        <w:ind w:firstLine="240"/>
      </w:pPr>
      <w:bookmarkStart w:id="78" w:name="79"/>
      <w:bookmarkEnd w:id="77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:</w:t>
      </w:r>
    </w:p>
    <w:p w14:paraId="5FAE3A09" w14:textId="77777777" w:rsidR="003D42E7" w:rsidRDefault="00950941">
      <w:pPr>
        <w:spacing w:after="0"/>
        <w:ind w:firstLine="240"/>
      </w:pPr>
      <w:bookmarkStart w:id="79" w:name="80"/>
      <w:bookmarkEnd w:id="78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>);</w:t>
      </w:r>
    </w:p>
    <w:p w14:paraId="39F55D03" w14:textId="77777777" w:rsidR="003D42E7" w:rsidRDefault="00950941">
      <w:pPr>
        <w:spacing w:after="0"/>
        <w:ind w:firstLine="240"/>
      </w:pPr>
      <w:bookmarkStart w:id="80" w:name="81"/>
      <w:bookmarkEnd w:id="79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</w:t>
      </w:r>
      <w:r>
        <w:rPr>
          <w:rFonts w:ascii="Arial"/>
          <w:color w:val="000000"/>
          <w:sz w:val="18"/>
        </w:rPr>
        <w:t>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);</w:t>
      </w:r>
    </w:p>
    <w:p w14:paraId="14FE0B97" w14:textId="77777777" w:rsidR="003D42E7" w:rsidRDefault="00950941">
      <w:pPr>
        <w:spacing w:after="0"/>
        <w:ind w:firstLine="240"/>
      </w:pPr>
      <w:bookmarkStart w:id="81" w:name="82"/>
      <w:bookmarkEnd w:id="80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розпорядні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).</w:t>
      </w:r>
    </w:p>
    <w:p w14:paraId="710F6EFA" w14:textId="77777777" w:rsidR="003D42E7" w:rsidRDefault="00950941">
      <w:pPr>
        <w:spacing w:after="0"/>
        <w:ind w:firstLine="240"/>
      </w:pPr>
      <w:bookmarkStart w:id="82" w:name="83"/>
      <w:bookmarkEnd w:id="81"/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чотирнадцятому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шістнадцятому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>.</w:t>
      </w:r>
    </w:p>
    <w:p w14:paraId="782165D4" w14:textId="77777777" w:rsidR="003D42E7" w:rsidRDefault="00950941">
      <w:pPr>
        <w:spacing w:after="0"/>
        <w:ind w:firstLine="240"/>
      </w:pPr>
      <w:bookmarkStart w:id="83" w:name="84"/>
      <w:bookmarkEnd w:id="82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344C5D58" w14:textId="77777777" w:rsidR="003D42E7" w:rsidRDefault="00950941">
      <w:pPr>
        <w:pStyle w:val="3"/>
        <w:spacing w:after="0"/>
        <w:jc w:val="center"/>
      </w:pPr>
      <w:bookmarkStart w:id="84" w:name="85"/>
      <w:bookmarkEnd w:id="83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Терміни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застосовуються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корпоративного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</w:p>
    <w:p w14:paraId="70A5BF06" w14:textId="77777777" w:rsidR="003D42E7" w:rsidRDefault="00950941">
      <w:pPr>
        <w:spacing w:after="0"/>
        <w:ind w:firstLine="240"/>
      </w:pPr>
      <w:bookmarkStart w:id="85" w:name="86"/>
      <w:bookmarkEnd w:id="8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>:</w:t>
      </w:r>
    </w:p>
    <w:p w14:paraId="219E4304" w14:textId="77777777" w:rsidR="003D42E7" w:rsidRDefault="00950941">
      <w:pPr>
        <w:spacing w:after="0"/>
        <w:ind w:firstLine="240"/>
      </w:pPr>
      <w:bookmarkStart w:id="86" w:name="87"/>
      <w:bookmarkEnd w:id="8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адекватність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</w:t>
      </w:r>
      <w:r>
        <w:rPr>
          <w:rFonts w:ascii="Arial"/>
          <w:color w:val="000000"/>
          <w:sz w:val="18"/>
        </w:rPr>
        <w:t>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;</w:t>
      </w:r>
    </w:p>
    <w:p w14:paraId="4F7DB16A" w14:textId="77777777" w:rsidR="003D42E7" w:rsidRDefault="00950941">
      <w:pPr>
        <w:spacing w:after="0"/>
        <w:ind w:firstLine="240"/>
      </w:pPr>
      <w:bookmarkStart w:id="87" w:name="88"/>
      <w:bookmarkEnd w:id="8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>;</w:t>
      </w:r>
    </w:p>
    <w:p w14:paraId="240C1BDB" w14:textId="77777777" w:rsidR="003D42E7" w:rsidRDefault="00950941">
      <w:pPr>
        <w:spacing w:after="0"/>
        <w:ind w:firstLine="240"/>
      </w:pPr>
      <w:bookmarkStart w:id="88" w:name="89"/>
      <w:bookmarkEnd w:id="8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(ex post)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минулому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7F956D0F" w14:textId="77777777" w:rsidR="003D42E7" w:rsidRDefault="00950941">
      <w:pPr>
        <w:spacing w:after="0"/>
        <w:ind w:firstLine="240"/>
      </w:pPr>
      <w:bookmarkStart w:id="89" w:name="90"/>
      <w:bookmarkEnd w:id="8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апріорні</w:t>
      </w:r>
      <w:r>
        <w:rPr>
          <w:rFonts w:ascii="Arial"/>
          <w:color w:val="000000"/>
          <w:sz w:val="18"/>
        </w:rPr>
        <w:t xml:space="preserve"> (ex ante)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короткострокові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2285C3C0" w14:textId="77777777" w:rsidR="003D42E7" w:rsidRDefault="00950941">
      <w:pPr>
        <w:spacing w:after="0"/>
        <w:ind w:firstLine="240"/>
      </w:pPr>
      <w:bookmarkStart w:id="90" w:name="91"/>
      <w:bookmarkEnd w:id="8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звичайні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;</w:t>
      </w:r>
    </w:p>
    <w:p w14:paraId="00B3546D" w14:textId="77777777" w:rsidR="003D42E7" w:rsidRDefault="00950941">
      <w:pPr>
        <w:spacing w:after="0"/>
        <w:ind w:firstLine="240"/>
      </w:pPr>
      <w:bookmarkStart w:id="91" w:name="92"/>
      <w:bookmarkEnd w:id="9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завершенні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7ABA8B7F" w14:textId="77777777" w:rsidR="003D42E7" w:rsidRDefault="00950941">
      <w:pPr>
        <w:spacing w:after="0"/>
        <w:ind w:firstLine="240"/>
      </w:pPr>
      <w:bookmarkStart w:id="92" w:name="93"/>
      <w:bookmarkEnd w:id="9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>;</w:t>
      </w:r>
    </w:p>
    <w:p w14:paraId="6186864A" w14:textId="77777777" w:rsidR="003D42E7" w:rsidRDefault="00950941">
      <w:pPr>
        <w:spacing w:after="0"/>
        <w:ind w:firstLine="240"/>
      </w:pPr>
      <w:bookmarkStart w:id="93" w:name="94"/>
      <w:bookmarkEnd w:id="9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онтракті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;</w:t>
      </w:r>
    </w:p>
    <w:p w14:paraId="00DAB3B5" w14:textId="77777777" w:rsidR="003D42E7" w:rsidRDefault="00950941">
      <w:pPr>
        <w:spacing w:after="0"/>
        <w:ind w:firstLine="240"/>
      </w:pPr>
      <w:bookmarkStart w:id="94" w:name="95"/>
      <w:bookmarkEnd w:id="9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відокремлений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філія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612CCCAA" w14:textId="77777777" w:rsidR="003D42E7" w:rsidRDefault="00950941">
      <w:pPr>
        <w:spacing w:after="0"/>
        <w:ind w:firstLine="240"/>
      </w:pPr>
      <w:bookmarkStart w:id="95" w:name="96"/>
      <w:bookmarkEnd w:id="94"/>
      <w:r>
        <w:rPr>
          <w:rFonts w:ascii="Arial"/>
          <w:color w:val="000000"/>
          <w:sz w:val="18"/>
        </w:rPr>
        <w:t>10)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0EB49285" w14:textId="77777777" w:rsidR="003D42E7" w:rsidRDefault="00950941">
      <w:pPr>
        <w:spacing w:after="0"/>
        <w:ind w:firstLine="240"/>
      </w:pPr>
      <w:bookmarkStart w:id="96" w:name="97"/>
      <w:bookmarkEnd w:id="95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грубе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інвестору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грубим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>;</w:t>
      </w:r>
    </w:p>
    <w:p w14:paraId="4065A174" w14:textId="77777777" w:rsidR="003D42E7" w:rsidRDefault="00950941">
      <w:pPr>
        <w:spacing w:after="0"/>
        <w:ind w:firstLine="240"/>
      </w:pPr>
      <w:bookmarkStart w:id="97" w:name="98"/>
      <w:bookmarkEnd w:id="96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</w:t>
      </w:r>
      <w:r>
        <w:rPr>
          <w:rFonts w:ascii="Arial"/>
          <w:color w:val="000000"/>
          <w:sz w:val="18"/>
        </w:rPr>
        <w:t>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</w:t>
      </w:r>
      <w:r>
        <w:rPr>
          <w:rFonts w:ascii="Arial"/>
          <w:color w:val="000000"/>
          <w:sz w:val="18"/>
        </w:rPr>
        <w:t>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);</w:t>
      </w:r>
    </w:p>
    <w:p w14:paraId="15EFAE45" w14:textId="77777777" w:rsidR="003D42E7" w:rsidRDefault="00950941">
      <w:pPr>
        <w:spacing w:after="0"/>
        <w:ind w:firstLine="240"/>
      </w:pPr>
      <w:bookmarkStart w:id="98" w:name="99"/>
      <w:bookmarkEnd w:id="97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6FD395A" w14:textId="77777777" w:rsidR="003D42E7" w:rsidRDefault="00950941">
      <w:pPr>
        <w:spacing w:after="0"/>
        <w:ind w:firstLine="240"/>
      </w:pPr>
      <w:bookmarkStart w:id="99" w:name="100"/>
      <w:bookmarkEnd w:id="98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;</w:t>
      </w:r>
    </w:p>
    <w:p w14:paraId="5B8DF295" w14:textId="77777777" w:rsidR="003D42E7" w:rsidRDefault="00950941">
      <w:pPr>
        <w:spacing w:after="0"/>
        <w:ind w:firstLine="240"/>
      </w:pPr>
      <w:bookmarkStart w:id="100" w:name="101"/>
      <w:bookmarkEnd w:id="99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</w:t>
      </w:r>
      <w:r>
        <w:rPr>
          <w:rFonts w:ascii="Arial"/>
          <w:color w:val="000000"/>
          <w:sz w:val="18"/>
        </w:rPr>
        <w:t>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аохочувальні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>;</w:t>
      </w:r>
    </w:p>
    <w:p w14:paraId="6FA02381" w14:textId="77777777" w:rsidR="003D42E7" w:rsidRDefault="00950941">
      <w:pPr>
        <w:spacing w:after="0"/>
        <w:ind w:firstLine="240"/>
      </w:pPr>
      <w:bookmarkStart w:id="101" w:name="102"/>
      <w:bookmarkEnd w:id="100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ідентифікація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розпізнавання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Ідентифікація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ричинити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>;</w:t>
      </w:r>
    </w:p>
    <w:p w14:paraId="6D7F02D9" w14:textId="77777777" w:rsidR="003D42E7" w:rsidRDefault="00950941">
      <w:pPr>
        <w:spacing w:after="0"/>
        <w:ind w:firstLine="240"/>
      </w:pPr>
      <w:bookmarkStart w:id="102" w:name="103"/>
      <w:bookmarkEnd w:id="101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14:paraId="3C9D29C1" w14:textId="77777777" w:rsidR="003D42E7" w:rsidRDefault="00950941">
      <w:pPr>
        <w:spacing w:after="0"/>
        <w:ind w:firstLine="240"/>
      </w:pPr>
      <w:bookmarkStart w:id="103" w:name="104"/>
      <w:bookmarkEnd w:id="102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7457B2BE" w14:textId="77777777" w:rsidR="003D42E7" w:rsidRDefault="00950941">
      <w:pPr>
        <w:spacing w:after="0"/>
        <w:ind w:firstLine="240"/>
      </w:pPr>
      <w:bookmarkStart w:id="104" w:name="105"/>
      <w:bookmarkEnd w:id="103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тейкери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37116DC" w14:textId="77777777" w:rsidR="003D42E7" w:rsidRDefault="00950941">
      <w:pPr>
        <w:spacing w:after="0"/>
        <w:ind w:firstLine="240"/>
      </w:pPr>
      <w:bookmarkStart w:id="105" w:name="106"/>
      <w:bookmarkEnd w:id="104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0486EF3C" w14:textId="77777777" w:rsidR="003D42E7" w:rsidRDefault="00950941">
      <w:pPr>
        <w:spacing w:after="0"/>
        <w:ind w:firstLine="240"/>
      </w:pPr>
      <w:bookmarkStart w:id="106" w:name="107"/>
      <w:bookmarkEnd w:id="105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>;</w:t>
      </w:r>
    </w:p>
    <w:p w14:paraId="47948732" w14:textId="77777777" w:rsidR="003D42E7" w:rsidRDefault="00950941">
      <w:pPr>
        <w:spacing w:after="0"/>
        <w:ind w:firstLine="240"/>
      </w:pPr>
      <w:bookmarkStart w:id="107" w:name="108"/>
      <w:bookmarkEnd w:id="106"/>
      <w:r>
        <w:rPr>
          <w:rFonts w:ascii="Arial"/>
          <w:color w:val="000000"/>
          <w:sz w:val="18"/>
        </w:rPr>
        <w:t xml:space="preserve">18)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колегіальний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28135E0F" w14:textId="77777777" w:rsidR="003D42E7" w:rsidRDefault="00950941">
      <w:pPr>
        <w:spacing w:after="0"/>
        <w:ind w:firstLine="240"/>
      </w:pPr>
      <w:bookmarkStart w:id="108" w:name="109"/>
      <w:bookmarkEnd w:id="107"/>
      <w:r>
        <w:rPr>
          <w:rFonts w:ascii="Arial"/>
          <w:color w:val="000000"/>
          <w:sz w:val="18"/>
        </w:rPr>
        <w:t xml:space="preserve">19) </w:t>
      </w:r>
      <w:r>
        <w:rPr>
          <w:rFonts w:ascii="Arial"/>
          <w:color w:val="000000"/>
          <w:sz w:val="18"/>
        </w:rPr>
        <w:t>компенсаційна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>;</w:t>
      </w:r>
    </w:p>
    <w:p w14:paraId="0A0C3793" w14:textId="77777777" w:rsidR="003D42E7" w:rsidRDefault="00950941">
      <w:pPr>
        <w:spacing w:after="0"/>
        <w:ind w:firstLine="240"/>
      </w:pPr>
      <w:bookmarkStart w:id="109" w:name="110"/>
      <w:bookmarkEnd w:id="108"/>
      <w:r>
        <w:rPr>
          <w:rFonts w:ascii="Arial"/>
          <w:color w:val="000000"/>
          <w:sz w:val="18"/>
        </w:rPr>
        <w:t xml:space="preserve">20)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добросовісної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</w:t>
      </w:r>
      <w:r>
        <w:rPr>
          <w:rFonts w:ascii="Arial"/>
          <w:color w:val="000000"/>
          <w:sz w:val="18"/>
        </w:rPr>
        <w:t>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</w:t>
      </w:r>
      <w:r>
        <w:rPr>
          <w:rFonts w:ascii="Arial"/>
          <w:color w:val="000000"/>
          <w:sz w:val="18"/>
        </w:rPr>
        <w:t>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ухваленому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14:paraId="11BCB8E1" w14:textId="77777777" w:rsidR="003D42E7" w:rsidRDefault="00950941">
      <w:pPr>
        <w:spacing w:after="0"/>
        <w:ind w:firstLine="240"/>
      </w:pPr>
      <w:bookmarkStart w:id="110" w:name="111"/>
      <w:bookmarkEnd w:id="109"/>
      <w:r>
        <w:rPr>
          <w:rFonts w:ascii="Arial"/>
          <w:color w:val="000000"/>
          <w:sz w:val="18"/>
        </w:rPr>
        <w:t xml:space="preserve">21) </w:t>
      </w:r>
      <w:r>
        <w:rPr>
          <w:rFonts w:ascii="Arial"/>
          <w:color w:val="000000"/>
          <w:sz w:val="18"/>
        </w:rPr>
        <w:t>малус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апостеріорний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>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100D453E" w14:textId="77777777" w:rsidR="003D42E7" w:rsidRDefault="00950941">
      <w:pPr>
        <w:spacing w:after="0"/>
        <w:ind w:firstLine="240"/>
      </w:pPr>
      <w:bookmarkStart w:id="111" w:name="112"/>
      <w:bookmarkEnd w:id="110"/>
      <w:r>
        <w:rPr>
          <w:rFonts w:ascii="Arial"/>
          <w:color w:val="000000"/>
          <w:sz w:val="18"/>
        </w:rPr>
        <w:t xml:space="preserve">22)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;</w:t>
      </w:r>
    </w:p>
    <w:p w14:paraId="68260329" w14:textId="77777777" w:rsidR="003D42E7" w:rsidRDefault="00950941">
      <w:pPr>
        <w:spacing w:after="0"/>
        <w:ind w:firstLine="240"/>
      </w:pPr>
      <w:bookmarkStart w:id="112" w:name="113"/>
      <w:bookmarkEnd w:id="111"/>
      <w:r>
        <w:rPr>
          <w:rFonts w:ascii="Arial"/>
          <w:color w:val="000000"/>
          <w:sz w:val="18"/>
        </w:rPr>
        <w:t xml:space="preserve">23) </w:t>
      </w:r>
      <w:r>
        <w:rPr>
          <w:rFonts w:ascii="Arial"/>
          <w:color w:val="000000"/>
          <w:sz w:val="18"/>
        </w:rPr>
        <w:t>обробка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>:</w:t>
      </w:r>
    </w:p>
    <w:p w14:paraId="1554191C" w14:textId="77777777" w:rsidR="003D42E7" w:rsidRDefault="00950941">
      <w:pPr>
        <w:spacing w:after="0"/>
        <w:ind w:firstLine="240"/>
      </w:pPr>
      <w:bookmarkStart w:id="113" w:name="114"/>
      <w:bookmarkEnd w:id="112"/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розпочинати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;</w:t>
      </w:r>
    </w:p>
    <w:p w14:paraId="5653F926" w14:textId="77777777" w:rsidR="003D42E7" w:rsidRDefault="00950941">
      <w:pPr>
        <w:spacing w:after="0"/>
        <w:ind w:firstLine="240"/>
      </w:pPr>
      <w:bookmarkStart w:id="114" w:name="115"/>
      <w:bookmarkEnd w:id="113"/>
      <w:r>
        <w:rPr>
          <w:rFonts w:ascii="Arial"/>
          <w:color w:val="000000"/>
          <w:sz w:val="18"/>
        </w:rPr>
        <w:t>утримування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6E8A068F" w14:textId="77777777" w:rsidR="003D42E7" w:rsidRDefault="00950941">
      <w:pPr>
        <w:spacing w:after="0"/>
        <w:ind w:firstLine="240"/>
      </w:pPr>
      <w:bookmarkStart w:id="115" w:name="116"/>
      <w:bookmarkEnd w:id="114"/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;</w:t>
      </w:r>
    </w:p>
    <w:p w14:paraId="402AA166" w14:textId="77777777" w:rsidR="003D42E7" w:rsidRDefault="00950941">
      <w:pPr>
        <w:spacing w:after="0"/>
        <w:ind w:firstLine="240"/>
      </w:pPr>
      <w:bookmarkStart w:id="116" w:name="117"/>
      <w:bookmarkEnd w:id="115"/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ймовірності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>;</w:t>
      </w:r>
    </w:p>
    <w:p w14:paraId="3E7E8CDD" w14:textId="77777777" w:rsidR="003D42E7" w:rsidRDefault="00950941">
      <w:pPr>
        <w:spacing w:after="0"/>
        <w:ind w:firstLine="240"/>
      </w:pPr>
      <w:bookmarkStart w:id="117" w:name="118"/>
      <w:bookmarkEnd w:id="116"/>
      <w:r>
        <w:rPr>
          <w:rFonts w:ascii="Arial"/>
          <w:color w:val="000000"/>
          <w:sz w:val="18"/>
        </w:rPr>
        <w:t xml:space="preserve">24)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7EEC6B7" w14:textId="77777777" w:rsidR="003D42E7" w:rsidRDefault="00950941">
      <w:pPr>
        <w:spacing w:after="0"/>
        <w:ind w:firstLine="240"/>
      </w:pPr>
      <w:bookmarkStart w:id="118" w:name="119"/>
      <w:bookmarkEnd w:id="117"/>
      <w:r>
        <w:rPr>
          <w:rFonts w:ascii="Arial"/>
          <w:color w:val="000000"/>
          <w:sz w:val="18"/>
        </w:rPr>
        <w:t xml:space="preserve">25)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;</w:t>
      </w:r>
    </w:p>
    <w:p w14:paraId="3E4A1872" w14:textId="77777777" w:rsidR="003D42E7" w:rsidRDefault="00950941">
      <w:pPr>
        <w:spacing w:after="0"/>
        <w:ind w:firstLine="240"/>
      </w:pPr>
      <w:bookmarkStart w:id="119" w:name="120"/>
      <w:bookmarkEnd w:id="118"/>
      <w:r>
        <w:rPr>
          <w:rFonts w:ascii="Arial"/>
          <w:color w:val="000000"/>
          <w:sz w:val="18"/>
        </w:rPr>
        <w:t xml:space="preserve">26)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координування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перспективи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B98AF92" w14:textId="77777777" w:rsidR="003D42E7" w:rsidRDefault="00950941">
      <w:pPr>
        <w:spacing w:after="0"/>
        <w:ind w:firstLine="240"/>
      </w:pPr>
      <w:bookmarkStart w:id="120" w:name="121"/>
      <w:bookmarkEnd w:id="119"/>
      <w:r>
        <w:rPr>
          <w:rFonts w:ascii="Arial"/>
          <w:color w:val="000000"/>
          <w:sz w:val="18"/>
        </w:rPr>
        <w:t xml:space="preserve">27)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контролери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B944BED" w14:textId="77777777" w:rsidR="003D42E7" w:rsidRDefault="00950941">
      <w:pPr>
        <w:spacing w:after="0"/>
        <w:ind w:firstLine="240"/>
      </w:pPr>
      <w:bookmarkStart w:id="121" w:name="122"/>
      <w:bookmarkEnd w:id="120"/>
      <w:r>
        <w:rPr>
          <w:rFonts w:ascii="Arial"/>
          <w:color w:val="000000"/>
          <w:sz w:val="18"/>
        </w:rPr>
        <w:t xml:space="preserve">28)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3331C5C6" w14:textId="77777777" w:rsidR="003D42E7" w:rsidRDefault="00950941">
      <w:pPr>
        <w:spacing w:after="0"/>
        <w:ind w:firstLine="240"/>
      </w:pPr>
      <w:bookmarkStart w:id="122" w:name="123"/>
      <w:bookmarkEnd w:id="121"/>
      <w:r>
        <w:rPr>
          <w:rFonts w:ascii="Arial"/>
          <w:color w:val="000000"/>
          <w:sz w:val="18"/>
        </w:rPr>
        <w:t xml:space="preserve">29)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діяльні</w:t>
      </w:r>
      <w:r>
        <w:rPr>
          <w:rFonts w:ascii="Arial"/>
          <w:color w:val="000000"/>
          <w:sz w:val="18"/>
        </w:rPr>
        <w:t>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проваджувана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77D0E61" w14:textId="77777777" w:rsidR="003D42E7" w:rsidRDefault="00950941">
      <w:pPr>
        <w:spacing w:after="0"/>
        <w:ind w:firstLine="240"/>
      </w:pPr>
      <w:bookmarkStart w:id="123" w:name="124"/>
      <w:bookmarkEnd w:id="122"/>
      <w:r>
        <w:rPr>
          <w:rFonts w:ascii="Arial"/>
          <w:color w:val="000000"/>
          <w:sz w:val="18"/>
        </w:rPr>
        <w:t xml:space="preserve">30)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39D63B9" w14:textId="77777777" w:rsidR="003D42E7" w:rsidRDefault="00950941">
      <w:pPr>
        <w:spacing w:after="0"/>
        <w:ind w:firstLine="240"/>
      </w:pPr>
      <w:bookmarkStart w:id="124" w:name="125"/>
      <w:bookmarkEnd w:id="123"/>
      <w:r>
        <w:rPr>
          <w:rFonts w:ascii="Arial"/>
          <w:color w:val="000000"/>
          <w:sz w:val="18"/>
        </w:rPr>
        <w:t xml:space="preserve">31)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апостеріорний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>;</w:t>
      </w:r>
    </w:p>
    <w:p w14:paraId="38078ACC" w14:textId="77777777" w:rsidR="003D42E7" w:rsidRDefault="00950941">
      <w:pPr>
        <w:spacing w:after="0"/>
        <w:ind w:firstLine="240"/>
      </w:pPr>
      <w:bookmarkStart w:id="125" w:name="126"/>
      <w:bookmarkEnd w:id="124"/>
      <w:r>
        <w:rPr>
          <w:rFonts w:ascii="Arial"/>
          <w:color w:val="000000"/>
          <w:sz w:val="18"/>
        </w:rPr>
        <w:t xml:space="preserve">32)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офіцера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офіцера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>;</w:t>
      </w:r>
    </w:p>
    <w:p w14:paraId="14647EBE" w14:textId="77777777" w:rsidR="003D42E7" w:rsidRDefault="00950941">
      <w:pPr>
        <w:spacing w:after="0"/>
        <w:ind w:firstLine="240"/>
      </w:pPr>
      <w:bookmarkStart w:id="126" w:name="127"/>
      <w:bookmarkEnd w:id="125"/>
      <w:r>
        <w:rPr>
          <w:rFonts w:ascii="Arial"/>
          <w:color w:val="000000"/>
          <w:sz w:val="18"/>
        </w:rPr>
        <w:t xml:space="preserve">33)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6E5EEF33" w14:textId="77777777" w:rsidR="003D42E7" w:rsidRDefault="00950941">
      <w:pPr>
        <w:spacing w:after="0"/>
        <w:ind w:firstLine="240"/>
      </w:pPr>
      <w:bookmarkStart w:id="127" w:name="128"/>
      <w:bookmarkEnd w:id="126"/>
      <w:r>
        <w:rPr>
          <w:rFonts w:ascii="Arial"/>
          <w:color w:val="000000"/>
          <w:sz w:val="18"/>
        </w:rPr>
        <w:t xml:space="preserve">34)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14:paraId="4B0B6FDD" w14:textId="77777777" w:rsidR="003D42E7" w:rsidRDefault="00950941">
      <w:pPr>
        <w:spacing w:after="0"/>
        <w:ind w:firstLine="240"/>
      </w:pPr>
      <w:bookmarkStart w:id="128" w:name="129"/>
      <w:bookmarkEnd w:id="127"/>
      <w:r>
        <w:rPr>
          <w:rFonts w:ascii="Arial"/>
          <w:color w:val="000000"/>
          <w:sz w:val="18"/>
        </w:rPr>
        <w:t xml:space="preserve">35)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</w:t>
      </w:r>
      <w:r>
        <w:rPr>
          <w:rFonts w:ascii="Arial"/>
          <w:color w:val="000000"/>
          <w:sz w:val="18"/>
        </w:rPr>
        <w:t>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агрегованому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>);</w:t>
      </w:r>
    </w:p>
    <w:p w14:paraId="10CF4056" w14:textId="77777777" w:rsidR="003D42E7" w:rsidRDefault="00950941">
      <w:pPr>
        <w:spacing w:after="0"/>
        <w:ind w:firstLine="240"/>
      </w:pPr>
      <w:bookmarkStart w:id="129" w:name="130"/>
      <w:bookmarkEnd w:id="128"/>
      <w:r>
        <w:rPr>
          <w:rFonts w:ascii="Arial"/>
          <w:color w:val="000000"/>
          <w:sz w:val="18"/>
        </w:rPr>
        <w:t xml:space="preserve">36)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контролери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9E3EEEB" w14:textId="77777777" w:rsidR="003D42E7" w:rsidRDefault="00950941">
      <w:pPr>
        <w:spacing w:after="0"/>
        <w:ind w:firstLine="240"/>
      </w:pPr>
      <w:bookmarkStart w:id="130" w:name="131"/>
      <w:bookmarkEnd w:id="129"/>
      <w:r>
        <w:rPr>
          <w:rFonts w:ascii="Arial"/>
          <w:color w:val="000000"/>
          <w:sz w:val="18"/>
        </w:rPr>
        <w:t xml:space="preserve">37)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>;</w:t>
      </w:r>
    </w:p>
    <w:p w14:paraId="385198BE" w14:textId="77777777" w:rsidR="003D42E7" w:rsidRDefault="00950941">
      <w:pPr>
        <w:spacing w:after="0"/>
        <w:ind w:firstLine="240"/>
      </w:pPr>
      <w:bookmarkStart w:id="131" w:name="132"/>
      <w:bookmarkEnd w:id="130"/>
      <w:r>
        <w:rPr>
          <w:rFonts w:ascii="Arial"/>
          <w:color w:val="000000"/>
          <w:sz w:val="18"/>
        </w:rPr>
        <w:t xml:space="preserve">38)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2D5D961A" w14:textId="77777777" w:rsidR="003D42E7" w:rsidRDefault="00950941">
      <w:pPr>
        <w:spacing w:after="0"/>
        <w:ind w:firstLine="240"/>
      </w:pPr>
      <w:bookmarkStart w:id="132" w:name="133"/>
      <w:bookmarkEnd w:id="131"/>
      <w:r>
        <w:rPr>
          <w:rFonts w:ascii="Arial"/>
          <w:color w:val="000000"/>
          <w:sz w:val="18"/>
        </w:rPr>
        <w:t xml:space="preserve">39)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тейкери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A543E8E" w14:textId="77777777" w:rsidR="003D42E7" w:rsidRDefault="00950941">
      <w:pPr>
        <w:spacing w:after="0"/>
        <w:ind w:firstLine="240"/>
      </w:pPr>
      <w:bookmarkStart w:id="133" w:name="134"/>
      <w:bookmarkEnd w:id="132"/>
      <w:r>
        <w:rPr>
          <w:rFonts w:ascii="Arial"/>
          <w:color w:val="000000"/>
          <w:sz w:val="18"/>
        </w:rPr>
        <w:t xml:space="preserve">40)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величина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>;</w:t>
      </w:r>
    </w:p>
    <w:p w14:paraId="0CF0C8FF" w14:textId="77777777" w:rsidR="003D42E7" w:rsidRDefault="00950941">
      <w:pPr>
        <w:spacing w:after="0"/>
        <w:ind w:firstLine="240"/>
      </w:pPr>
      <w:bookmarkStart w:id="134" w:name="135"/>
      <w:bookmarkEnd w:id="133"/>
      <w:r>
        <w:rPr>
          <w:rFonts w:ascii="Arial"/>
          <w:color w:val="000000"/>
          <w:sz w:val="18"/>
        </w:rPr>
        <w:t xml:space="preserve">41) </w:t>
      </w:r>
      <w:r>
        <w:rPr>
          <w:rFonts w:ascii="Arial"/>
          <w:color w:val="000000"/>
          <w:sz w:val="18"/>
        </w:rPr>
        <w:t>самостійний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структурна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0C5B9869" w14:textId="77777777" w:rsidR="003D42E7" w:rsidRDefault="00950941">
      <w:pPr>
        <w:spacing w:after="0"/>
        <w:ind w:firstLine="240"/>
      </w:pPr>
      <w:bookmarkStart w:id="135" w:name="136"/>
      <w:bookmarkEnd w:id="134"/>
      <w:r>
        <w:rPr>
          <w:rFonts w:ascii="Arial"/>
          <w:color w:val="000000"/>
          <w:sz w:val="18"/>
        </w:rPr>
        <w:t xml:space="preserve">42)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>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30F2A958" w14:textId="77777777" w:rsidR="003D42E7" w:rsidRDefault="00950941">
      <w:pPr>
        <w:spacing w:after="0"/>
        <w:ind w:firstLine="240"/>
      </w:pPr>
      <w:bookmarkStart w:id="136" w:name="137"/>
      <w:bookmarkEnd w:id="135"/>
      <w:r>
        <w:rPr>
          <w:rFonts w:ascii="Arial"/>
          <w:color w:val="000000"/>
          <w:sz w:val="18"/>
        </w:rPr>
        <w:t xml:space="preserve">43) </w:t>
      </w:r>
      <w:r>
        <w:rPr>
          <w:rFonts w:ascii="Arial"/>
          <w:color w:val="000000"/>
          <w:sz w:val="18"/>
        </w:rPr>
        <w:t>систематичне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тандартах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>:</w:t>
      </w:r>
    </w:p>
    <w:p w14:paraId="68576D75" w14:textId="77777777" w:rsidR="003D42E7" w:rsidRDefault="00950941">
      <w:pPr>
        <w:spacing w:after="0"/>
        <w:ind w:firstLine="240"/>
      </w:pPr>
      <w:bookmarkStart w:id="137" w:name="138"/>
      <w:bookmarkEnd w:id="136"/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переднє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>;</w:t>
      </w:r>
    </w:p>
    <w:p w14:paraId="7D0F0F32" w14:textId="77777777" w:rsidR="003D42E7" w:rsidRDefault="00950941">
      <w:pPr>
        <w:spacing w:after="0"/>
        <w:ind w:firstLine="240"/>
      </w:pPr>
      <w:bookmarkStart w:id="138" w:name="139"/>
      <w:bookmarkEnd w:id="137"/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>;</w:t>
      </w:r>
    </w:p>
    <w:p w14:paraId="45C6EE5F" w14:textId="77777777" w:rsidR="003D42E7" w:rsidRDefault="00950941">
      <w:pPr>
        <w:spacing w:after="0"/>
        <w:ind w:firstLine="240"/>
      </w:pPr>
      <w:bookmarkStart w:id="139" w:name="140"/>
      <w:bookmarkEnd w:id="138"/>
      <w:r>
        <w:rPr>
          <w:rFonts w:ascii="Arial"/>
          <w:color w:val="000000"/>
          <w:sz w:val="18"/>
        </w:rPr>
        <w:t xml:space="preserve">44)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;</w:t>
      </w:r>
    </w:p>
    <w:p w14:paraId="7BB37A11" w14:textId="77777777" w:rsidR="003D42E7" w:rsidRDefault="00950941">
      <w:pPr>
        <w:spacing w:after="0"/>
        <w:ind w:firstLine="240"/>
      </w:pPr>
      <w:bookmarkStart w:id="140" w:name="141"/>
      <w:bookmarkEnd w:id="139"/>
      <w:r>
        <w:rPr>
          <w:rFonts w:ascii="Arial"/>
          <w:color w:val="000000"/>
          <w:sz w:val="18"/>
        </w:rPr>
        <w:t xml:space="preserve">45)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14:paraId="2F5EC9ED" w14:textId="77777777" w:rsidR="003D42E7" w:rsidRDefault="00950941">
      <w:pPr>
        <w:spacing w:after="0"/>
        <w:ind w:firstLine="240"/>
      </w:pPr>
      <w:bookmarkStart w:id="141" w:name="142"/>
      <w:bookmarkEnd w:id="140"/>
      <w:r>
        <w:rPr>
          <w:rFonts w:ascii="Arial"/>
          <w:color w:val="000000"/>
          <w:sz w:val="18"/>
        </w:rPr>
        <w:t xml:space="preserve">46) </w:t>
      </w:r>
      <w:r>
        <w:rPr>
          <w:rFonts w:ascii="Arial"/>
          <w:color w:val="000000"/>
          <w:sz w:val="18"/>
        </w:rPr>
        <w:t>стейкхолде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перетинаються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кредитори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постачальники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клієнти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</w:t>
      </w:r>
      <w:r>
        <w:rPr>
          <w:rFonts w:ascii="Arial"/>
          <w:color w:val="000000"/>
          <w:sz w:val="18"/>
        </w:rPr>
        <w:t>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>);</w:t>
      </w:r>
    </w:p>
    <w:p w14:paraId="6275445D" w14:textId="77777777" w:rsidR="003D42E7" w:rsidRDefault="00950941">
      <w:pPr>
        <w:spacing w:after="0"/>
        <w:ind w:firstLine="240"/>
      </w:pPr>
      <w:bookmarkStart w:id="142" w:name="143"/>
      <w:bookmarkEnd w:id="141"/>
      <w:r>
        <w:rPr>
          <w:rFonts w:ascii="Arial"/>
          <w:color w:val="000000"/>
          <w:sz w:val="18"/>
        </w:rPr>
        <w:t xml:space="preserve">47) </w:t>
      </w:r>
      <w:r>
        <w:rPr>
          <w:rFonts w:ascii="Arial"/>
          <w:color w:val="000000"/>
          <w:sz w:val="18"/>
        </w:rPr>
        <w:t>стійкість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толерантність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готовність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47CC97A0" w14:textId="77777777" w:rsidR="003D42E7" w:rsidRDefault="00950941">
      <w:pPr>
        <w:spacing w:after="0"/>
        <w:ind w:firstLine="240"/>
      </w:pPr>
      <w:bookmarkStart w:id="143" w:name="144"/>
      <w:bookmarkEnd w:id="142"/>
      <w:r>
        <w:rPr>
          <w:rFonts w:ascii="Arial"/>
          <w:color w:val="000000"/>
          <w:sz w:val="18"/>
        </w:rPr>
        <w:t xml:space="preserve">48) 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;</w:t>
      </w:r>
    </w:p>
    <w:p w14:paraId="0EE1A7ED" w14:textId="77777777" w:rsidR="003D42E7" w:rsidRDefault="00950941">
      <w:pPr>
        <w:spacing w:after="0"/>
        <w:ind w:firstLine="240"/>
      </w:pPr>
      <w:bookmarkStart w:id="144" w:name="145"/>
      <w:bookmarkEnd w:id="143"/>
      <w:r>
        <w:rPr>
          <w:rFonts w:ascii="Arial"/>
          <w:color w:val="000000"/>
          <w:sz w:val="18"/>
        </w:rPr>
        <w:t xml:space="preserve">49)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сукупна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величина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доцільність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>;</w:t>
      </w:r>
    </w:p>
    <w:p w14:paraId="01F3D790" w14:textId="77777777" w:rsidR="003D42E7" w:rsidRDefault="00950941">
      <w:pPr>
        <w:spacing w:after="0"/>
        <w:ind w:firstLine="240"/>
      </w:pPr>
      <w:bookmarkStart w:id="145" w:name="146"/>
      <w:bookmarkEnd w:id="144"/>
      <w:r>
        <w:rPr>
          <w:rFonts w:ascii="Arial"/>
          <w:color w:val="000000"/>
          <w:sz w:val="18"/>
        </w:rPr>
        <w:t xml:space="preserve">50)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регламентований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динамічний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систематичний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направлений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стейкхолдерами</w:t>
      </w:r>
      <w:r>
        <w:rPr>
          <w:rFonts w:ascii="Arial"/>
          <w:color w:val="000000"/>
          <w:sz w:val="18"/>
        </w:rPr>
        <w:t>;</w:t>
      </w:r>
    </w:p>
    <w:p w14:paraId="02A16617" w14:textId="77777777" w:rsidR="003D42E7" w:rsidRDefault="00950941">
      <w:pPr>
        <w:spacing w:after="0"/>
        <w:ind w:firstLine="240"/>
      </w:pPr>
      <w:bookmarkStart w:id="146" w:name="147"/>
      <w:bookmarkEnd w:id="145"/>
      <w:r>
        <w:rPr>
          <w:rFonts w:ascii="Arial"/>
          <w:color w:val="000000"/>
          <w:sz w:val="18"/>
        </w:rPr>
        <w:t xml:space="preserve">51)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</w:t>
      </w:r>
      <w:r>
        <w:rPr>
          <w:rFonts w:ascii="Arial"/>
          <w:color w:val="000000"/>
          <w:sz w:val="18"/>
        </w:rPr>
        <w:t>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надбавок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>;</w:t>
      </w:r>
    </w:p>
    <w:p w14:paraId="04D62B5F" w14:textId="77777777" w:rsidR="003D42E7" w:rsidRDefault="00950941">
      <w:pPr>
        <w:spacing w:after="0"/>
        <w:ind w:firstLine="240"/>
      </w:pPr>
      <w:bookmarkStart w:id="147" w:name="148"/>
      <w:bookmarkEnd w:id="146"/>
      <w:r>
        <w:rPr>
          <w:rFonts w:ascii="Arial"/>
          <w:color w:val="000000"/>
          <w:sz w:val="18"/>
        </w:rPr>
        <w:t xml:space="preserve">52) </w:t>
      </w:r>
      <w:r>
        <w:rPr>
          <w:rFonts w:ascii="Arial"/>
          <w:color w:val="000000"/>
          <w:sz w:val="18"/>
        </w:rPr>
        <w:t>функц</w:t>
      </w:r>
      <w:r>
        <w:rPr>
          <w:rFonts w:ascii="Arial"/>
          <w:color w:val="000000"/>
          <w:sz w:val="18"/>
        </w:rPr>
        <w:t>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структурна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операційна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ліцензіями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74A89AA" w14:textId="77777777" w:rsidR="003D42E7" w:rsidRDefault="00950941">
      <w:pPr>
        <w:spacing w:after="0"/>
        <w:ind w:firstLine="240"/>
      </w:pPr>
      <w:bookmarkStart w:id="148" w:name="149"/>
      <w:bookmarkEnd w:id="14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</w:t>
      </w:r>
      <w:r>
        <w:rPr>
          <w:rFonts w:ascii="Arial"/>
          <w:color w:val="000000"/>
          <w:sz w:val="18"/>
        </w:rPr>
        <w:t>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іпоте</w:t>
      </w:r>
      <w:r>
        <w:rPr>
          <w:rFonts w:ascii="Arial"/>
          <w:color w:val="000000"/>
          <w:sz w:val="18"/>
        </w:rPr>
        <w:t>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облігації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".</w:t>
      </w:r>
    </w:p>
    <w:p w14:paraId="71900CC5" w14:textId="77777777" w:rsidR="003D42E7" w:rsidRDefault="00950941">
      <w:pPr>
        <w:pStyle w:val="3"/>
        <w:spacing w:after="0"/>
        <w:jc w:val="center"/>
      </w:pPr>
      <w:bookmarkStart w:id="149" w:name="150"/>
      <w:bookmarkEnd w:id="148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3E46D5AB" w14:textId="77777777" w:rsidR="003D42E7" w:rsidRDefault="00950941">
      <w:pPr>
        <w:spacing w:after="0"/>
        <w:ind w:firstLine="240"/>
      </w:pPr>
      <w:bookmarkStart w:id="150" w:name="151"/>
      <w:bookmarkEnd w:id="14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3E7FD92A" w14:textId="77777777" w:rsidR="003D42E7" w:rsidRDefault="00950941">
      <w:pPr>
        <w:spacing w:after="0"/>
        <w:ind w:firstLine="240"/>
      </w:pPr>
      <w:bookmarkStart w:id="151" w:name="152"/>
      <w:bookmarkEnd w:id="15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</w:t>
      </w:r>
      <w:r>
        <w:rPr>
          <w:rFonts w:ascii="Arial"/>
          <w:color w:val="000000"/>
          <w:sz w:val="18"/>
        </w:rPr>
        <w:t>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49BAE425" w14:textId="77777777" w:rsidR="003D42E7" w:rsidRDefault="00950941">
      <w:pPr>
        <w:spacing w:after="0"/>
        <w:ind w:firstLine="240"/>
      </w:pPr>
      <w:bookmarkStart w:id="152" w:name="153"/>
      <w:bookmarkEnd w:id="15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21CF28A6" w14:textId="77777777" w:rsidR="003D42E7" w:rsidRDefault="00950941">
      <w:pPr>
        <w:spacing w:after="0"/>
        <w:ind w:firstLine="240"/>
      </w:pPr>
      <w:bookmarkStart w:id="153" w:name="154"/>
      <w:bookmarkEnd w:id="152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  <w:gridCol w:w="4504"/>
      </w:tblGrid>
      <w:tr w:rsidR="003D42E7" w14:paraId="1E240CF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3572D8A" w14:textId="77777777" w:rsidR="003D42E7" w:rsidRDefault="00950941">
            <w:pPr>
              <w:spacing w:after="0"/>
              <w:jc w:val="center"/>
            </w:pPr>
            <w:bookmarkStart w:id="154" w:name="155"/>
            <w:bookmarkEnd w:id="153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>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управління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фінансів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фінансових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інструментів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капіталу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організованих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товарних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ринків</w:t>
            </w:r>
          </w:p>
        </w:tc>
        <w:tc>
          <w:tcPr>
            <w:tcW w:w="4845" w:type="dxa"/>
            <w:vAlign w:val="center"/>
          </w:tcPr>
          <w:p w14:paraId="627ADAAD" w14:textId="77777777" w:rsidR="003D42E7" w:rsidRDefault="00950941">
            <w:pPr>
              <w:spacing w:after="0"/>
              <w:jc w:val="center"/>
            </w:pPr>
            <w:bookmarkStart w:id="155" w:name="156"/>
            <w:bookmarkEnd w:id="154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155"/>
      </w:tr>
    </w:tbl>
    <w:p w14:paraId="6813468F" w14:textId="77777777" w:rsidR="003D42E7" w:rsidRDefault="00950941">
      <w:r>
        <w:br/>
      </w:r>
    </w:p>
    <w:p w14:paraId="4686D76E" w14:textId="77777777" w:rsidR="003D42E7" w:rsidRDefault="003D42E7">
      <w:pPr>
        <w:spacing w:after="0"/>
        <w:ind w:firstLine="240"/>
      </w:pPr>
      <w:bookmarkStart w:id="156" w:name="157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3D42E7" w14:paraId="0B2B4397" w14:textId="77777777">
        <w:trPr>
          <w:tblCellSpacing w:w="20" w:type="dxa"/>
        </w:trPr>
        <w:tc>
          <w:tcPr>
            <w:tcW w:w="8410" w:type="dxa"/>
            <w:vAlign w:val="center"/>
          </w:tcPr>
          <w:bookmarkEnd w:id="156"/>
          <w:p w14:paraId="3E037DFD" w14:textId="77777777" w:rsidR="003D42E7" w:rsidRDefault="00950941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2022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</w:t>
            </w:r>
            <w:r>
              <w:rPr>
                <w:rFonts w:ascii="Arial"/>
                <w:color w:val="000000"/>
                <w:sz w:val="18"/>
              </w:rPr>
              <w:t>2</w:t>
            </w:r>
          </w:p>
        </w:tc>
        <w:tc>
          <w:tcPr>
            <w:tcW w:w="1240" w:type="dxa"/>
            <w:vAlign w:val="center"/>
          </w:tcPr>
          <w:p w14:paraId="27052363" w14:textId="77777777" w:rsidR="003D42E7" w:rsidRDefault="0095094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A94B774" wp14:editId="564E93B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CCBB4B" w14:textId="77777777" w:rsidR="003D42E7" w:rsidRDefault="00950941">
      <w:r>
        <w:br/>
      </w:r>
    </w:p>
    <w:sectPr w:rsidR="003D4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E7"/>
    <w:rsid w:val="003D42E7"/>
    <w:rsid w:val="009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472"/>
  <w15:docId w15:val="{5D259ADE-1DBD-414A-BBD2-5F90C6F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6209</Words>
  <Characters>35395</Characters>
  <Application>Microsoft Office Word</Application>
  <DocSecurity>0</DocSecurity>
  <Lines>294</Lines>
  <Paragraphs>83</Paragraphs>
  <ScaleCrop>false</ScaleCrop>
  <Company/>
  <LinksUpToDate>false</LinksUpToDate>
  <CharactersWithSpaces>41521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Юрковський Анатолій</cp:lastModifiedBy>
  <cp:revision>2</cp:revision>
  <dcterms:created xsi:type="dcterms:W3CDTF">2022-03-14T15:45:00Z</dcterms:created>
  <dcterms:modified xsi:type="dcterms:W3CDTF">2022-03-14T15:45:00Z</dcterms:modified>
</cp:coreProperties>
</file>