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3" w:type="dxa"/>
        <w:jc w:val="center"/>
        <w:tblLayout w:type="fixed"/>
        <w:tblLook w:val="04A0" w:firstRow="1" w:lastRow="0" w:firstColumn="1" w:lastColumn="0" w:noHBand="0" w:noVBand="1"/>
      </w:tblPr>
      <w:tblGrid>
        <w:gridCol w:w="108"/>
        <w:gridCol w:w="3622"/>
        <w:gridCol w:w="1232"/>
        <w:gridCol w:w="1233"/>
        <w:gridCol w:w="3190"/>
        <w:gridCol w:w="218"/>
      </w:tblGrid>
      <w:tr w:rsidR="00C73D2F" w:rsidRPr="00D224B1" w:rsidTr="00B53034">
        <w:trPr>
          <w:gridBefore w:val="1"/>
          <w:gridAfter w:val="1"/>
          <w:wBefore w:w="108" w:type="dxa"/>
          <w:wAfter w:w="218" w:type="dxa"/>
          <w:trHeight w:val="620"/>
          <w:jc w:val="center"/>
        </w:trPr>
        <w:tc>
          <w:tcPr>
            <w:tcW w:w="3622" w:type="dxa"/>
            <w:hideMark/>
          </w:tcPr>
          <w:p w:rsidR="00C73D2F" w:rsidRPr="00370028" w:rsidRDefault="006C2924" w:rsidP="00C73D2F">
            <w:pPr>
              <w:spacing w:before="120"/>
              <w:rPr>
                <w:b/>
                <w:sz w:val="28"/>
                <w:szCs w:val="28"/>
                <w:lang w:eastAsia="ru-RU"/>
              </w:rPr>
            </w:pPr>
            <w:r>
              <w:rPr>
                <w:sz w:val="28"/>
                <w:szCs w:val="28"/>
                <w:lang w:eastAsia="ru-RU"/>
              </w:rPr>
              <w:t xml:space="preserve">06.10.2023 </w:t>
            </w:r>
            <w:r w:rsidR="00C73D2F" w:rsidRPr="001D69F2">
              <w:rPr>
                <w:sz w:val="28"/>
                <w:szCs w:val="28"/>
                <w:lang w:eastAsia="ru-RU"/>
              </w:rPr>
              <w:t>р.</w:t>
            </w:r>
          </w:p>
        </w:tc>
        <w:tc>
          <w:tcPr>
            <w:tcW w:w="2465" w:type="dxa"/>
            <w:gridSpan w:val="2"/>
            <w:hideMark/>
          </w:tcPr>
          <w:p w:rsidR="00C73D2F" w:rsidRPr="00370028" w:rsidRDefault="00C73D2F" w:rsidP="00C73D2F">
            <w:pPr>
              <w:spacing w:before="120"/>
              <w:ind w:left="-188"/>
              <w:jc w:val="center"/>
              <w:rPr>
                <w:b/>
                <w:sz w:val="28"/>
                <w:szCs w:val="28"/>
                <w:lang w:eastAsia="ru-RU"/>
              </w:rPr>
            </w:pPr>
            <w:r w:rsidRPr="00370028">
              <w:rPr>
                <w:sz w:val="28"/>
                <w:szCs w:val="28"/>
                <w:lang w:eastAsia="ru-RU"/>
              </w:rPr>
              <w:t>Київ</w:t>
            </w:r>
          </w:p>
        </w:tc>
        <w:tc>
          <w:tcPr>
            <w:tcW w:w="3190" w:type="dxa"/>
            <w:hideMark/>
          </w:tcPr>
          <w:p w:rsidR="00C73D2F" w:rsidRPr="00370028" w:rsidRDefault="006C2924" w:rsidP="00C73D2F">
            <w:pPr>
              <w:spacing w:before="120"/>
              <w:ind w:firstLine="567"/>
              <w:rPr>
                <w:b/>
                <w:sz w:val="28"/>
                <w:szCs w:val="28"/>
                <w:lang w:eastAsia="ru-RU"/>
              </w:rPr>
            </w:pPr>
            <w:r>
              <w:rPr>
                <w:sz w:val="28"/>
                <w:szCs w:val="28"/>
                <w:lang w:eastAsia="ru-RU"/>
              </w:rPr>
              <w:t xml:space="preserve">                     № 1117</w:t>
            </w:r>
          </w:p>
        </w:tc>
      </w:tr>
      <w:tr w:rsidR="00242007" w:rsidRPr="002232B2" w:rsidTr="00B53034">
        <w:tblPrEx>
          <w:jc w:val="left"/>
          <w:tblLook w:val="01E0" w:firstRow="1" w:lastRow="1" w:firstColumn="1" w:lastColumn="1" w:noHBand="0" w:noVBand="0"/>
        </w:tblPrEx>
        <w:tc>
          <w:tcPr>
            <w:tcW w:w="4962" w:type="dxa"/>
            <w:gridSpan w:val="3"/>
            <w:shd w:val="clear" w:color="auto" w:fill="auto"/>
          </w:tcPr>
          <w:p w:rsidR="00242007" w:rsidRDefault="00242007" w:rsidP="0029110F">
            <w:pPr>
              <w:rPr>
                <w:sz w:val="28"/>
                <w:szCs w:val="28"/>
                <w:lang w:eastAsia="ru-RU"/>
              </w:rPr>
            </w:pPr>
          </w:p>
          <w:p w:rsidR="00FD5C3D" w:rsidRPr="002232B2" w:rsidRDefault="00FD5C3D" w:rsidP="0029110F">
            <w:pPr>
              <w:rPr>
                <w:sz w:val="28"/>
                <w:szCs w:val="28"/>
                <w:lang w:eastAsia="ru-RU"/>
              </w:rPr>
            </w:pPr>
          </w:p>
          <w:p w:rsidR="0054245B" w:rsidRDefault="005B023B" w:rsidP="00B53034">
            <w:pPr>
              <w:keepNext/>
              <w:ind w:right="141"/>
              <w:jc w:val="both"/>
              <w:rPr>
                <w:noProof/>
                <w:sz w:val="28"/>
                <w:szCs w:val="28"/>
                <w:lang w:eastAsia="ru-RU"/>
              </w:rPr>
            </w:pPr>
            <w:r>
              <w:rPr>
                <w:noProof/>
                <w:sz w:val="28"/>
                <w:szCs w:val="28"/>
                <w:lang w:eastAsia="ru-RU"/>
              </w:rPr>
              <w:t>Про внесення змін до</w:t>
            </w:r>
            <w:r w:rsidR="00AA392F">
              <w:rPr>
                <w:noProof/>
                <w:sz w:val="28"/>
                <w:szCs w:val="28"/>
                <w:lang w:eastAsia="ru-RU"/>
              </w:rPr>
              <w:t xml:space="preserve"> </w:t>
            </w:r>
            <w:r>
              <w:rPr>
                <w:noProof/>
                <w:sz w:val="28"/>
                <w:szCs w:val="28"/>
                <w:lang w:eastAsia="ru-RU"/>
              </w:rPr>
              <w:t>рішення Національної комі</w:t>
            </w:r>
            <w:r w:rsidR="00E10CF4">
              <w:rPr>
                <w:noProof/>
                <w:sz w:val="28"/>
                <w:szCs w:val="28"/>
                <w:lang w:eastAsia="ru-RU"/>
              </w:rPr>
              <w:t>сії з цінних паперів та фондового ринку від 29</w:t>
            </w:r>
            <w:r w:rsidR="00B53034" w:rsidRPr="003424B9">
              <w:rPr>
                <w:sz w:val="28"/>
                <w:szCs w:val="28"/>
              </w:rPr>
              <w:t xml:space="preserve"> </w:t>
            </w:r>
            <w:r w:rsidR="00B53034">
              <w:rPr>
                <w:sz w:val="28"/>
                <w:szCs w:val="28"/>
              </w:rPr>
              <w:t>вересня 2022</w:t>
            </w:r>
            <w:r w:rsidR="00B53034" w:rsidRPr="003424B9">
              <w:rPr>
                <w:sz w:val="28"/>
                <w:szCs w:val="28"/>
              </w:rPr>
              <w:t xml:space="preserve"> року</w:t>
            </w:r>
            <w:r w:rsidR="00DC4DEF">
              <w:rPr>
                <w:noProof/>
                <w:sz w:val="28"/>
                <w:szCs w:val="28"/>
                <w:lang w:eastAsia="ru-RU"/>
              </w:rPr>
              <w:t xml:space="preserve"> № 1221</w:t>
            </w:r>
          </w:p>
          <w:p w:rsidR="00242007" w:rsidRDefault="00242007" w:rsidP="00AA392F">
            <w:pPr>
              <w:keepNext/>
              <w:ind w:left="284" w:right="141" w:hanging="284"/>
              <w:jc w:val="both"/>
              <w:rPr>
                <w:sz w:val="28"/>
                <w:szCs w:val="28"/>
              </w:rPr>
            </w:pPr>
          </w:p>
          <w:p w:rsidR="00FD5C3D" w:rsidRPr="002232B2" w:rsidRDefault="00FD5C3D" w:rsidP="00AA392F">
            <w:pPr>
              <w:keepNext/>
              <w:ind w:left="284" w:right="141" w:hanging="284"/>
              <w:jc w:val="both"/>
              <w:rPr>
                <w:sz w:val="28"/>
                <w:szCs w:val="28"/>
              </w:rPr>
            </w:pPr>
          </w:p>
        </w:tc>
        <w:tc>
          <w:tcPr>
            <w:tcW w:w="4641" w:type="dxa"/>
            <w:gridSpan w:val="3"/>
            <w:shd w:val="clear" w:color="auto" w:fill="auto"/>
          </w:tcPr>
          <w:p w:rsidR="00242007" w:rsidRPr="002232B2" w:rsidRDefault="00242007" w:rsidP="0029110F">
            <w:pPr>
              <w:ind w:left="972"/>
              <w:jc w:val="both"/>
              <w:rPr>
                <w:sz w:val="28"/>
                <w:szCs w:val="28"/>
              </w:rPr>
            </w:pPr>
          </w:p>
          <w:p w:rsidR="00242007" w:rsidRPr="002232B2" w:rsidRDefault="00242007" w:rsidP="0029110F">
            <w:pPr>
              <w:ind w:left="452"/>
              <w:rPr>
                <w:sz w:val="28"/>
                <w:szCs w:val="28"/>
              </w:rPr>
            </w:pPr>
          </w:p>
        </w:tc>
      </w:tr>
    </w:tbl>
    <w:p w:rsidR="00242007" w:rsidRPr="00861EF3" w:rsidRDefault="0054245B" w:rsidP="00A6277B">
      <w:pPr>
        <w:ind w:firstLine="708"/>
        <w:jc w:val="both"/>
        <w:rPr>
          <w:sz w:val="28"/>
          <w:szCs w:val="28"/>
        </w:rPr>
      </w:pPr>
      <w:r>
        <w:rPr>
          <w:noProof/>
          <w:sz w:val="28"/>
          <w:szCs w:val="28"/>
          <w:lang w:eastAsia="ru-RU"/>
        </w:rPr>
        <w:t>Відповідно</w:t>
      </w:r>
      <w:r w:rsidRPr="00451252">
        <w:rPr>
          <w:noProof/>
          <w:sz w:val="28"/>
          <w:szCs w:val="28"/>
          <w:lang w:eastAsia="ru-RU"/>
        </w:rPr>
        <w:t xml:space="preserve"> </w:t>
      </w:r>
      <w:r>
        <w:rPr>
          <w:noProof/>
          <w:sz w:val="28"/>
          <w:szCs w:val="28"/>
          <w:lang w:eastAsia="ru-RU"/>
        </w:rPr>
        <w:t>до статті 6, пункт</w:t>
      </w:r>
      <w:r w:rsidR="00DE5309">
        <w:rPr>
          <w:noProof/>
          <w:sz w:val="28"/>
          <w:szCs w:val="28"/>
          <w:lang w:eastAsia="ru-RU"/>
        </w:rPr>
        <w:t>ів</w:t>
      </w:r>
      <w:r>
        <w:rPr>
          <w:noProof/>
          <w:sz w:val="28"/>
          <w:szCs w:val="28"/>
          <w:lang w:eastAsia="ru-RU"/>
        </w:rPr>
        <w:t xml:space="preserve"> </w:t>
      </w:r>
      <w:r>
        <w:rPr>
          <w:rStyle w:val="fontstyle01"/>
        </w:rPr>
        <w:t>37</w:t>
      </w:r>
      <w:r w:rsidRPr="00DE5309">
        <w:rPr>
          <w:rStyle w:val="fontstyle01"/>
          <w:vertAlign w:val="superscript"/>
        </w:rPr>
        <w:t>26</w:t>
      </w:r>
      <w:r w:rsidR="00194099">
        <w:rPr>
          <w:noProof/>
          <w:sz w:val="28"/>
          <w:szCs w:val="28"/>
          <w:lang w:eastAsia="ru-RU"/>
        </w:rPr>
        <w:t>,</w:t>
      </w:r>
      <w:r w:rsidR="00DE5309">
        <w:rPr>
          <w:rStyle w:val="fontstyle01"/>
          <w:vertAlign w:val="superscript"/>
        </w:rPr>
        <w:t xml:space="preserve"> </w:t>
      </w:r>
      <w:r w:rsidR="00DE5309">
        <w:rPr>
          <w:rStyle w:val="fontstyle01"/>
        </w:rPr>
        <w:t>37</w:t>
      </w:r>
      <w:r w:rsidR="00DE5309" w:rsidRPr="00DE5309">
        <w:rPr>
          <w:rStyle w:val="fontstyle01"/>
          <w:vertAlign w:val="superscript"/>
        </w:rPr>
        <w:t>2</w:t>
      </w:r>
      <w:r w:rsidR="00DE5309">
        <w:rPr>
          <w:rStyle w:val="fontstyle01"/>
          <w:vertAlign w:val="superscript"/>
        </w:rPr>
        <w:t>7</w:t>
      </w:r>
      <w:r>
        <w:rPr>
          <w:rStyle w:val="fontstyle01"/>
        </w:rPr>
        <w:t xml:space="preserve"> частини другої статті 7, </w:t>
      </w:r>
      <w:r>
        <w:rPr>
          <w:noProof/>
          <w:sz w:val="28"/>
          <w:szCs w:val="28"/>
          <w:lang w:eastAsia="ru-RU"/>
        </w:rPr>
        <w:t>пункту 13 статті 8 Закону України «Про державне регулювання ринків капіталу та організованих товарних ринків», у зв’</w:t>
      </w:r>
      <w:r w:rsidRPr="002A74AD">
        <w:rPr>
          <w:noProof/>
          <w:sz w:val="28"/>
          <w:szCs w:val="28"/>
          <w:lang w:eastAsia="ru-RU"/>
        </w:rPr>
        <w:t>язку з введенням воєнного стану відповідно до Указу Прези</w:t>
      </w:r>
      <w:r>
        <w:rPr>
          <w:noProof/>
          <w:sz w:val="28"/>
          <w:szCs w:val="28"/>
          <w:lang w:eastAsia="ru-RU"/>
        </w:rPr>
        <w:t>д</w:t>
      </w:r>
      <w:r w:rsidRPr="002A74AD">
        <w:rPr>
          <w:noProof/>
          <w:sz w:val="28"/>
          <w:szCs w:val="28"/>
          <w:lang w:eastAsia="ru-RU"/>
        </w:rPr>
        <w:t xml:space="preserve">ента України № 64/2022 від 24.02.2022, </w:t>
      </w:r>
      <w:r w:rsidRPr="00816239">
        <w:rPr>
          <w:sz w:val="28"/>
          <w:szCs w:val="28"/>
        </w:rPr>
        <w:t xml:space="preserve">з метою мінімізації негативного впливу наслідків військової агресії </w:t>
      </w:r>
      <w:r>
        <w:rPr>
          <w:sz w:val="28"/>
          <w:szCs w:val="28"/>
        </w:rPr>
        <w:t>р</w:t>
      </w:r>
      <w:r w:rsidRPr="00816239">
        <w:rPr>
          <w:sz w:val="28"/>
          <w:szCs w:val="28"/>
        </w:rPr>
        <w:t xml:space="preserve">осійської </w:t>
      </w:r>
      <w:r>
        <w:rPr>
          <w:sz w:val="28"/>
          <w:szCs w:val="28"/>
        </w:rPr>
        <w:t>ф</w:t>
      </w:r>
      <w:r w:rsidRPr="00816239">
        <w:rPr>
          <w:sz w:val="28"/>
          <w:szCs w:val="28"/>
        </w:rPr>
        <w:t>едерації проти України та сприяння стабільності ринків ка</w:t>
      </w:r>
      <w:r>
        <w:rPr>
          <w:sz w:val="28"/>
          <w:szCs w:val="28"/>
        </w:rPr>
        <w:t>піталу</w:t>
      </w:r>
    </w:p>
    <w:p w:rsidR="00423EF5" w:rsidRPr="000D4214" w:rsidRDefault="00423EF5" w:rsidP="00242007">
      <w:pPr>
        <w:ind w:firstLine="720"/>
        <w:jc w:val="both"/>
        <w:rPr>
          <w:sz w:val="28"/>
          <w:szCs w:val="28"/>
        </w:rPr>
      </w:pPr>
    </w:p>
    <w:p w:rsidR="00242007" w:rsidRPr="00B61773" w:rsidRDefault="00242007" w:rsidP="00242007">
      <w:pPr>
        <w:pStyle w:val="a7"/>
      </w:pPr>
      <w:r w:rsidRPr="00B61773">
        <w:t xml:space="preserve">Національна комісія з цінних паперів та фондового ринку </w:t>
      </w:r>
    </w:p>
    <w:p w:rsidR="00242007" w:rsidRPr="00966289" w:rsidRDefault="00242007" w:rsidP="00242007">
      <w:pPr>
        <w:ind w:firstLine="720"/>
        <w:jc w:val="center"/>
        <w:rPr>
          <w:sz w:val="28"/>
          <w:szCs w:val="28"/>
        </w:rPr>
      </w:pPr>
    </w:p>
    <w:p w:rsidR="00242007" w:rsidRDefault="00242007" w:rsidP="00242007">
      <w:pPr>
        <w:jc w:val="center"/>
        <w:rPr>
          <w:b/>
          <w:sz w:val="28"/>
        </w:rPr>
      </w:pPr>
      <w:r w:rsidRPr="00B61773">
        <w:rPr>
          <w:b/>
          <w:sz w:val="28"/>
        </w:rPr>
        <w:t>В И Р І Ш И Л А:</w:t>
      </w:r>
    </w:p>
    <w:p w:rsidR="00242007" w:rsidRPr="00054FCD" w:rsidRDefault="00242007" w:rsidP="00242007">
      <w:pPr>
        <w:jc w:val="center"/>
        <w:rPr>
          <w:b/>
          <w:sz w:val="28"/>
        </w:rPr>
      </w:pPr>
    </w:p>
    <w:p w:rsidR="008759BA" w:rsidRDefault="003E0220" w:rsidP="003E0220">
      <w:pPr>
        <w:widowControl w:val="0"/>
        <w:ind w:firstLine="709"/>
        <w:jc w:val="both"/>
        <w:rPr>
          <w:bCs/>
          <w:color w:val="000000"/>
          <w:sz w:val="28"/>
          <w:szCs w:val="28"/>
        </w:rPr>
      </w:pPr>
      <w:r w:rsidRPr="003E0220">
        <w:rPr>
          <w:bCs/>
          <w:color w:val="000000"/>
          <w:sz w:val="28"/>
          <w:szCs w:val="28"/>
        </w:rPr>
        <w:t xml:space="preserve">1. </w:t>
      </w:r>
      <w:r w:rsidR="008759BA">
        <w:rPr>
          <w:bCs/>
          <w:color w:val="000000"/>
          <w:sz w:val="28"/>
          <w:szCs w:val="28"/>
        </w:rPr>
        <w:t xml:space="preserve">Внести до </w:t>
      </w:r>
      <w:r w:rsidR="008759BA" w:rsidRPr="003E0220">
        <w:rPr>
          <w:bCs/>
          <w:color w:val="000000"/>
          <w:sz w:val="28"/>
          <w:szCs w:val="28"/>
        </w:rPr>
        <w:t>рішення Національної комісії з цінних паперів та фондового ринку від 2</w:t>
      </w:r>
      <w:r w:rsidR="008759BA">
        <w:rPr>
          <w:bCs/>
          <w:color w:val="000000"/>
          <w:sz w:val="28"/>
          <w:szCs w:val="28"/>
        </w:rPr>
        <w:t xml:space="preserve">9 вересня </w:t>
      </w:r>
      <w:r w:rsidR="008759BA" w:rsidRPr="003E0220">
        <w:rPr>
          <w:bCs/>
          <w:color w:val="000000"/>
          <w:sz w:val="28"/>
          <w:szCs w:val="28"/>
        </w:rPr>
        <w:t>2022</w:t>
      </w:r>
      <w:r w:rsidR="008759BA">
        <w:rPr>
          <w:bCs/>
          <w:color w:val="000000"/>
          <w:sz w:val="28"/>
          <w:szCs w:val="28"/>
        </w:rPr>
        <w:t xml:space="preserve"> року </w:t>
      </w:r>
      <w:r w:rsidR="008759BA" w:rsidRPr="003E0220">
        <w:rPr>
          <w:bCs/>
          <w:color w:val="000000"/>
          <w:sz w:val="28"/>
          <w:szCs w:val="28"/>
        </w:rPr>
        <w:t xml:space="preserve">№ </w:t>
      </w:r>
      <w:r w:rsidR="008759BA">
        <w:rPr>
          <w:bCs/>
          <w:color w:val="000000"/>
          <w:sz w:val="28"/>
          <w:szCs w:val="28"/>
        </w:rPr>
        <w:t>1221 «</w:t>
      </w:r>
      <w:r w:rsidR="008759BA" w:rsidRPr="00F6576D">
        <w:rPr>
          <w:rStyle w:val="HTML1"/>
          <w:sz w:val="28"/>
        </w:rPr>
        <w:t xml:space="preserve">Щодо </w:t>
      </w:r>
      <w:r w:rsidR="008759BA">
        <w:rPr>
          <w:sz w:val="28"/>
          <w:szCs w:val="28"/>
        </w:rPr>
        <w:t xml:space="preserve">пруденційних нормативів професійної діяльності на ринках капіталу </w:t>
      </w:r>
      <w:r w:rsidR="008759BA">
        <w:rPr>
          <w:rStyle w:val="HTML1"/>
          <w:sz w:val="28"/>
        </w:rPr>
        <w:t>та організованих товарних ринках»</w:t>
      </w:r>
      <w:r w:rsidR="008759BA">
        <w:rPr>
          <w:bCs/>
          <w:color w:val="000000"/>
          <w:sz w:val="28"/>
          <w:szCs w:val="28"/>
        </w:rPr>
        <w:t xml:space="preserve"> (зі змінами)</w:t>
      </w:r>
      <w:r w:rsidR="008759BA" w:rsidRPr="003E0220">
        <w:rPr>
          <w:bCs/>
          <w:color w:val="000000"/>
          <w:sz w:val="28"/>
          <w:szCs w:val="28"/>
        </w:rPr>
        <w:t xml:space="preserve"> </w:t>
      </w:r>
      <w:r w:rsidR="008759BA">
        <w:rPr>
          <w:bCs/>
          <w:color w:val="000000"/>
          <w:sz w:val="28"/>
          <w:szCs w:val="28"/>
        </w:rPr>
        <w:t>такі зміни</w:t>
      </w:r>
      <w:r w:rsidR="008759BA" w:rsidRPr="003E0220">
        <w:rPr>
          <w:bCs/>
          <w:color w:val="000000"/>
          <w:sz w:val="28"/>
          <w:szCs w:val="28"/>
        </w:rPr>
        <w:t>:</w:t>
      </w:r>
    </w:p>
    <w:p w:rsidR="008759BA" w:rsidRDefault="008759BA" w:rsidP="003E0220">
      <w:pPr>
        <w:widowControl w:val="0"/>
        <w:ind w:firstLine="709"/>
        <w:jc w:val="both"/>
        <w:rPr>
          <w:bCs/>
          <w:color w:val="000000"/>
          <w:sz w:val="28"/>
          <w:szCs w:val="28"/>
        </w:rPr>
      </w:pPr>
    </w:p>
    <w:p w:rsidR="003E0220" w:rsidRPr="003E0220" w:rsidRDefault="008759BA" w:rsidP="003E0220">
      <w:pPr>
        <w:widowControl w:val="0"/>
        <w:ind w:firstLine="709"/>
        <w:jc w:val="both"/>
        <w:rPr>
          <w:bCs/>
          <w:color w:val="000000"/>
          <w:sz w:val="28"/>
          <w:szCs w:val="28"/>
        </w:rPr>
      </w:pPr>
      <w:r>
        <w:rPr>
          <w:bCs/>
          <w:color w:val="000000"/>
          <w:sz w:val="28"/>
          <w:szCs w:val="28"/>
        </w:rPr>
        <w:t>1) п</w:t>
      </w:r>
      <w:r w:rsidR="00DC4DEF">
        <w:rPr>
          <w:bCs/>
          <w:color w:val="000000"/>
          <w:sz w:val="28"/>
          <w:szCs w:val="28"/>
        </w:rPr>
        <w:t>ункт 9</w:t>
      </w:r>
      <w:r w:rsidR="003E0220" w:rsidRPr="003E0220">
        <w:rPr>
          <w:bCs/>
          <w:color w:val="000000"/>
          <w:sz w:val="28"/>
          <w:szCs w:val="28"/>
        </w:rPr>
        <w:t xml:space="preserve"> </w:t>
      </w:r>
      <w:r w:rsidR="00DC4DEF">
        <w:rPr>
          <w:bCs/>
          <w:color w:val="000000"/>
          <w:sz w:val="28"/>
          <w:szCs w:val="28"/>
        </w:rPr>
        <w:t>викласти в такій редакції</w:t>
      </w:r>
      <w:r w:rsidR="003E0220" w:rsidRPr="003E0220">
        <w:rPr>
          <w:bCs/>
          <w:color w:val="000000"/>
          <w:sz w:val="28"/>
          <w:szCs w:val="28"/>
        </w:rPr>
        <w:t>:</w:t>
      </w:r>
    </w:p>
    <w:p w:rsidR="00DC4DEF" w:rsidRPr="008825AE" w:rsidRDefault="00DC4DEF" w:rsidP="00DC4DEF">
      <w:pPr>
        <w:tabs>
          <w:tab w:val="left" w:pos="4664"/>
        </w:tabs>
        <w:ind w:firstLine="567"/>
        <w:jc w:val="both"/>
        <w:rPr>
          <w:sz w:val="28"/>
          <w:szCs w:val="28"/>
        </w:rPr>
      </w:pPr>
      <w:r>
        <w:rPr>
          <w:sz w:val="28"/>
          <w:szCs w:val="28"/>
        </w:rPr>
        <w:t>«</w:t>
      </w:r>
      <w:r w:rsidRPr="008825AE">
        <w:rPr>
          <w:sz w:val="28"/>
          <w:szCs w:val="28"/>
        </w:rPr>
        <w:t>9. Нагляд за дотриманням професійними учасниками ринків капіталу та організованих товарних ринків вимог цього рішення щодо нормативного значення нормативу ліквідності активів здійснюється Комісією в порядку, передбаченому цим рішенням, а саме:</w:t>
      </w:r>
    </w:p>
    <w:p w:rsidR="00DC4DEF" w:rsidRPr="008825AE" w:rsidRDefault="00DC4DEF" w:rsidP="00DC4DEF">
      <w:pPr>
        <w:tabs>
          <w:tab w:val="left" w:pos="4664"/>
        </w:tabs>
        <w:ind w:firstLine="567"/>
        <w:jc w:val="both"/>
        <w:rPr>
          <w:sz w:val="28"/>
          <w:szCs w:val="28"/>
        </w:rPr>
      </w:pPr>
      <w:r w:rsidRPr="008825AE">
        <w:rPr>
          <w:sz w:val="28"/>
          <w:szCs w:val="28"/>
        </w:rPr>
        <w:lastRenderedPageBreak/>
        <w:t>у разі недотримання професійним учасником ринків капіталу та організованих товарних ринків нормативного значення нормативу ліквідності активів ним здійснюється підготовка плану заходів щодо поліпшення свого фінансового стану (далі – план заходів);</w:t>
      </w:r>
    </w:p>
    <w:p w:rsidR="00DC4DEF" w:rsidRDefault="00DC4DEF" w:rsidP="00DC4DEF">
      <w:pPr>
        <w:tabs>
          <w:tab w:val="left" w:pos="4664"/>
        </w:tabs>
        <w:ind w:firstLine="567"/>
        <w:jc w:val="both"/>
        <w:rPr>
          <w:sz w:val="28"/>
          <w:szCs w:val="28"/>
        </w:rPr>
      </w:pPr>
      <w:r w:rsidRPr="008825AE">
        <w:rPr>
          <w:sz w:val="28"/>
          <w:szCs w:val="28"/>
        </w:rPr>
        <w:t xml:space="preserve">план заходів повинен відповідати вимогами пункту 10 цього рішення; </w:t>
      </w:r>
    </w:p>
    <w:p w:rsidR="00DC4DEF" w:rsidRDefault="00DC4DEF" w:rsidP="00DC4DEF">
      <w:pPr>
        <w:tabs>
          <w:tab w:val="left" w:pos="4664"/>
        </w:tabs>
        <w:ind w:firstLine="567"/>
        <w:jc w:val="both"/>
        <w:rPr>
          <w:sz w:val="28"/>
          <w:szCs w:val="28"/>
        </w:rPr>
      </w:pPr>
      <w:r w:rsidRPr="008825AE">
        <w:rPr>
          <w:sz w:val="28"/>
          <w:szCs w:val="28"/>
        </w:rPr>
        <w:t>план заходів має бути наданий до Комісії на розгляд та погодження протягом 7 робочих днів від дня виникнення відхилення розрахункового значення нормативу ліквідності активів від його нормативного значення. Комісія здійснює розгляд плану заходів, за результатом якого може бути винесено рішення про його погодження або про відмову в погодженні на підставах, визначених пунктом 11 цього рішення;</w:t>
      </w:r>
    </w:p>
    <w:p w:rsidR="00DC4DEF" w:rsidRDefault="00DC4DEF" w:rsidP="00DC4DEF">
      <w:pPr>
        <w:tabs>
          <w:tab w:val="left" w:pos="4664"/>
        </w:tabs>
        <w:ind w:firstLine="567"/>
        <w:jc w:val="both"/>
        <w:rPr>
          <w:sz w:val="28"/>
          <w:szCs w:val="28"/>
        </w:rPr>
      </w:pPr>
      <w:r w:rsidRPr="008825AE">
        <w:rPr>
          <w:sz w:val="28"/>
          <w:szCs w:val="28"/>
        </w:rPr>
        <w:t xml:space="preserve">строк реалізації плану заходів не повинен перевищувати 30 календарних днів з дати його погодження Комісією, яке здійснюється протягом 10 робочих днів з дня надходження плану заходів до Комісії. Для професійних учасників ринків капіталу та організованих товарних ринків, які здійснюють розрахунок нормативу ліквідності активів станом на кінець останнього дня кожного місяця, строк реалізації плану заходів продовжується до останнього дня місяця, в якому завершується 30-денний строк реалізації такого плану; </w:t>
      </w:r>
    </w:p>
    <w:p w:rsidR="00C251D7" w:rsidRPr="000F1A64" w:rsidRDefault="00C251D7" w:rsidP="00DC4DEF">
      <w:pPr>
        <w:tabs>
          <w:tab w:val="left" w:pos="4664"/>
        </w:tabs>
        <w:ind w:firstLine="567"/>
        <w:jc w:val="both"/>
        <w:rPr>
          <w:sz w:val="28"/>
          <w:szCs w:val="28"/>
        </w:rPr>
      </w:pPr>
      <w:r w:rsidRPr="00E34048">
        <w:rPr>
          <w:sz w:val="28"/>
          <w:szCs w:val="28"/>
          <w:highlight w:val="yellow"/>
        </w:rPr>
        <w:t xml:space="preserve">у разі якщо план заходів передбачає заходи, термін виконання яких перевищує </w:t>
      </w:r>
      <w:r w:rsidR="00B6487E" w:rsidRPr="00E34048">
        <w:rPr>
          <w:sz w:val="28"/>
          <w:szCs w:val="28"/>
          <w:highlight w:val="yellow"/>
        </w:rPr>
        <w:t>строки</w:t>
      </w:r>
      <w:r w:rsidRPr="00E34048">
        <w:rPr>
          <w:sz w:val="28"/>
          <w:szCs w:val="28"/>
          <w:highlight w:val="yellow"/>
        </w:rPr>
        <w:t>, передбачені абзацом п</w:t>
      </w:r>
      <w:r w:rsidRPr="00E34048">
        <w:rPr>
          <w:noProof/>
          <w:sz w:val="28"/>
          <w:szCs w:val="28"/>
          <w:highlight w:val="yellow"/>
          <w:lang w:eastAsia="ru-RU"/>
        </w:rPr>
        <w:t xml:space="preserve">’ятим </w:t>
      </w:r>
      <w:r w:rsidRPr="00E34048">
        <w:rPr>
          <w:sz w:val="28"/>
          <w:szCs w:val="28"/>
          <w:highlight w:val="yellow"/>
        </w:rPr>
        <w:t>цього пункту, то строк реалізації такого плану заходів може бути</w:t>
      </w:r>
      <w:r w:rsidR="00B6487E" w:rsidRPr="00E34048">
        <w:rPr>
          <w:sz w:val="28"/>
          <w:szCs w:val="28"/>
          <w:highlight w:val="yellow"/>
        </w:rPr>
        <w:t xml:space="preserve"> більше, ніж 30 календарних днів. При цьому такий професійний учасник повинен аргументувати збільшення строку реалізації плану заходів та подати пояснення та відповідні документи</w:t>
      </w:r>
      <w:r w:rsidR="00C23907" w:rsidRPr="00E34048">
        <w:rPr>
          <w:sz w:val="28"/>
          <w:szCs w:val="28"/>
          <w:highlight w:val="yellow"/>
        </w:rPr>
        <w:t xml:space="preserve"> разом із планом заходів до Комісії.</w:t>
      </w:r>
      <w:r w:rsidR="00B6487E" w:rsidRPr="00E34048">
        <w:rPr>
          <w:sz w:val="28"/>
          <w:szCs w:val="28"/>
          <w:highlight w:val="yellow"/>
        </w:rPr>
        <w:t xml:space="preserve"> </w:t>
      </w:r>
      <w:r w:rsidR="00C23907" w:rsidRPr="00E34048">
        <w:rPr>
          <w:sz w:val="28"/>
          <w:szCs w:val="28"/>
          <w:highlight w:val="yellow"/>
        </w:rPr>
        <w:t>Остаточний строк реалізації плану заходів установлюється рішенням Комісії про його погодження;</w:t>
      </w:r>
    </w:p>
    <w:p w:rsidR="00DC4DEF" w:rsidRPr="008825AE" w:rsidRDefault="00DC4DEF" w:rsidP="00DC4DEF">
      <w:pPr>
        <w:tabs>
          <w:tab w:val="left" w:pos="4664"/>
        </w:tabs>
        <w:ind w:firstLine="567"/>
        <w:jc w:val="both"/>
        <w:rPr>
          <w:sz w:val="28"/>
          <w:szCs w:val="28"/>
        </w:rPr>
      </w:pPr>
      <w:r w:rsidRPr="008825AE">
        <w:rPr>
          <w:sz w:val="28"/>
          <w:szCs w:val="28"/>
        </w:rPr>
        <w:t>протягом 3 робочих днів після реалізації плану заходів/закінчення строку реалізації плану заходів до Комісії надається звіт про результати його реалізації, складений відповідно до пункту 12 цього рішення;</w:t>
      </w:r>
    </w:p>
    <w:p w:rsidR="00DC4DEF" w:rsidRDefault="00DC4DEF" w:rsidP="00DC4DEF">
      <w:pPr>
        <w:tabs>
          <w:tab w:val="left" w:pos="4664"/>
        </w:tabs>
        <w:ind w:firstLine="567"/>
        <w:jc w:val="both"/>
        <w:rPr>
          <w:sz w:val="28"/>
          <w:szCs w:val="28"/>
        </w:rPr>
      </w:pPr>
      <w:r w:rsidRPr="008825AE">
        <w:rPr>
          <w:sz w:val="28"/>
          <w:szCs w:val="28"/>
        </w:rPr>
        <w:t>у разі приведення значення нормативу ліквідності активів у відповідність до нормативного значення станом на дату розрахунку до закінчення строку реалізації плану заходів професійний учасник ринків капіталу та організованих товарних ринків протягом 3 робочих днів з дати такого приведення надає до Комісії звіт про результати реалізації плану заходів, складений відповідно до пункту 12 цього рішення;</w:t>
      </w:r>
    </w:p>
    <w:p w:rsidR="003E0220" w:rsidRDefault="00DC4DEF" w:rsidP="00DC4DEF">
      <w:pPr>
        <w:widowControl w:val="0"/>
        <w:ind w:firstLine="709"/>
        <w:jc w:val="both"/>
        <w:rPr>
          <w:sz w:val="28"/>
          <w:szCs w:val="28"/>
        </w:rPr>
      </w:pPr>
      <w:r w:rsidRPr="008825AE">
        <w:rPr>
          <w:sz w:val="28"/>
          <w:szCs w:val="28"/>
        </w:rPr>
        <w:t xml:space="preserve">у разі якщо значення нормативу ліквідності активів приведено у відповідність до встановленого нормативного значення після дати виникнення відхилення до дати погодження Комісією плану заходів, до Комісії подається інформація про факт відхилення розрахункового значення нормативу ліквідності активів від його нормативного значення із зазначенням розрахункового значення пруденційного показника, даних, на основі яких здійснювався розрахунок, та дати виникнення відхилення, а також  щодо приведення значення нормативу ліквідності активів до його нормативного значення із зазначенням розрахункового значення пруденційного </w:t>
      </w:r>
      <w:r w:rsidRPr="008825AE">
        <w:rPr>
          <w:sz w:val="28"/>
          <w:szCs w:val="28"/>
        </w:rPr>
        <w:lastRenderedPageBreak/>
        <w:t>показника, даних, на основі яких здійснювався розрахунок, та дати, на яку показник було приведено у відповідність до нормативного значення, із доданням підтверджуючих документів у строк протягом 3 робочих днів після приведення нормативу ліквідності активів у відповідність до встановленого нормативного значення. Якщо значення пруденційного показника приведено у відповідність до встановленого нормативного значення після дати надходження плану заходів до Комісії, Комісія залишає такий план заходів без розгляду.</w:t>
      </w:r>
      <w:r w:rsidR="00C23907">
        <w:rPr>
          <w:sz w:val="28"/>
          <w:szCs w:val="28"/>
        </w:rPr>
        <w:t>»</w:t>
      </w:r>
      <w:r w:rsidR="008759BA">
        <w:rPr>
          <w:sz w:val="28"/>
          <w:szCs w:val="28"/>
        </w:rPr>
        <w:t>;</w:t>
      </w:r>
    </w:p>
    <w:p w:rsidR="008759BA" w:rsidRDefault="008759BA" w:rsidP="00DC4DEF">
      <w:pPr>
        <w:widowControl w:val="0"/>
        <w:ind w:firstLine="709"/>
        <w:jc w:val="both"/>
        <w:rPr>
          <w:sz w:val="28"/>
          <w:szCs w:val="28"/>
        </w:rPr>
      </w:pPr>
    </w:p>
    <w:p w:rsidR="008759BA" w:rsidRDefault="008759BA" w:rsidP="00DC4DEF">
      <w:pPr>
        <w:widowControl w:val="0"/>
        <w:ind w:firstLine="709"/>
        <w:jc w:val="both"/>
        <w:rPr>
          <w:bCs/>
          <w:color w:val="000000"/>
          <w:sz w:val="28"/>
          <w:szCs w:val="28"/>
        </w:rPr>
      </w:pPr>
      <w:r>
        <w:rPr>
          <w:sz w:val="28"/>
          <w:szCs w:val="28"/>
        </w:rPr>
        <w:t xml:space="preserve">2) абзац четвертий пункту 11 </w:t>
      </w:r>
      <w:r>
        <w:rPr>
          <w:bCs/>
          <w:color w:val="000000"/>
          <w:sz w:val="28"/>
          <w:szCs w:val="28"/>
        </w:rPr>
        <w:t>викласти в такій редакції</w:t>
      </w:r>
      <w:r w:rsidRPr="003E0220">
        <w:rPr>
          <w:bCs/>
          <w:color w:val="000000"/>
          <w:sz w:val="28"/>
          <w:szCs w:val="28"/>
        </w:rPr>
        <w:t>:</w:t>
      </w:r>
    </w:p>
    <w:p w:rsidR="008759BA" w:rsidRDefault="008759BA" w:rsidP="00DC4DEF">
      <w:pPr>
        <w:widowControl w:val="0"/>
        <w:ind w:firstLine="709"/>
        <w:jc w:val="both"/>
        <w:rPr>
          <w:bCs/>
          <w:color w:val="000000"/>
          <w:sz w:val="28"/>
          <w:szCs w:val="28"/>
        </w:rPr>
      </w:pPr>
      <w:r w:rsidRPr="00E34048">
        <w:rPr>
          <w:bCs/>
          <w:color w:val="000000"/>
          <w:sz w:val="28"/>
          <w:szCs w:val="28"/>
          <w:highlight w:val="yellow"/>
        </w:rPr>
        <w:t>«</w:t>
      </w:r>
      <w:r w:rsidRPr="00E34048">
        <w:rPr>
          <w:sz w:val="28"/>
          <w:szCs w:val="28"/>
          <w:highlight w:val="yellow"/>
        </w:rPr>
        <w:t>план заходів не може бути реалізований у визначені строки  або його реалізація не призведе до поліпшення фінансового стану професійного учасника ринків капіталу та організованих товарних ринків та приведення значення пруденційного показника у відповідність до нормативного значення;».</w:t>
      </w:r>
      <w:bookmarkStart w:id="0" w:name="_GoBack"/>
      <w:bookmarkEnd w:id="0"/>
    </w:p>
    <w:p w:rsidR="00C14A96" w:rsidRDefault="00C14A96" w:rsidP="00262AF4">
      <w:pPr>
        <w:widowControl w:val="0"/>
        <w:ind w:firstLine="709"/>
        <w:jc w:val="both"/>
        <w:rPr>
          <w:sz w:val="28"/>
          <w:szCs w:val="28"/>
          <w:lang w:eastAsia="ru-RU"/>
        </w:rPr>
      </w:pPr>
    </w:p>
    <w:p w:rsidR="00242007" w:rsidRDefault="00C23907" w:rsidP="00242007">
      <w:pPr>
        <w:ind w:firstLine="720"/>
        <w:jc w:val="both"/>
        <w:rPr>
          <w:sz w:val="28"/>
          <w:szCs w:val="28"/>
        </w:rPr>
      </w:pPr>
      <w:r>
        <w:rPr>
          <w:sz w:val="28"/>
          <w:szCs w:val="28"/>
        </w:rPr>
        <w:t>2</w:t>
      </w:r>
      <w:r w:rsidR="00242007">
        <w:rPr>
          <w:sz w:val="28"/>
          <w:szCs w:val="28"/>
        </w:rPr>
        <w:t xml:space="preserve">. </w:t>
      </w:r>
      <w:r w:rsidR="00063487" w:rsidRPr="00063487">
        <w:rPr>
          <w:sz w:val="28"/>
          <w:szCs w:val="28"/>
        </w:rPr>
        <w:t xml:space="preserve">Це рішення набирає чинності з </w:t>
      </w:r>
      <w:r w:rsidR="00063487" w:rsidRPr="007757D5">
        <w:rPr>
          <w:sz w:val="28"/>
          <w:szCs w:val="28"/>
        </w:rPr>
        <w:t>дня</w:t>
      </w:r>
      <w:r w:rsidR="00063487" w:rsidRPr="00D754D2">
        <w:rPr>
          <w:sz w:val="28"/>
          <w:szCs w:val="28"/>
        </w:rPr>
        <w:t xml:space="preserve">, </w:t>
      </w:r>
      <w:r w:rsidR="00063487" w:rsidRPr="00323730">
        <w:rPr>
          <w:sz w:val="28"/>
          <w:szCs w:val="28"/>
        </w:rPr>
        <w:t>наступного</w:t>
      </w:r>
      <w:r w:rsidR="00063487" w:rsidRPr="00D754D2">
        <w:rPr>
          <w:sz w:val="28"/>
          <w:szCs w:val="28"/>
        </w:rPr>
        <w:t xml:space="preserve"> за днем</w:t>
      </w:r>
      <w:r w:rsidR="00063487" w:rsidRPr="007757D5">
        <w:rPr>
          <w:sz w:val="28"/>
          <w:szCs w:val="28"/>
        </w:rPr>
        <w:t xml:space="preserve"> його </w:t>
      </w:r>
      <w:r w:rsidR="005F6086" w:rsidRPr="00737FCB">
        <w:rPr>
          <w:sz w:val="28"/>
          <w:szCs w:val="28"/>
          <w:shd w:val="clear" w:color="auto" w:fill="FFFFFF"/>
        </w:rPr>
        <w:t>опублікування на офіційному вебсайті Національної комісії з цінних паперів та фондового ринку</w:t>
      </w:r>
      <w:r w:rsidR="00242007" w:rsidRPr="007757D5">
        <w:rPr>
          <w:sz w:val="28"/>
          <w:szCs w:val="28"/>
        </w:rPr>
        <w:t>.</w:t>
      </w:r>
    </w:p>
    <w:p w:rsidR="00242007" w:rsidRDefault="00242007" w:rsidP="00242007">
      <w:pPr>
        <w:ind w:firstLine="720"/>
        <w:jc w:val="both"/>
        <w:rPr>
          <w:sz w:val="28"/>
          <w:szCs w:val="28"/>
        </w:rPr>
      </w:pPr>
    </w:p>
    <w:p w:rsidR="00242007" w:rsidRPr="003544DC" w:rsidRDefault="00FD5C3D" w:rsidP="00242007">
      <w:pPr>
        <w:ind w:firstLine="720"/>
        <w:jc w:val="both"/>
        <w:rPr>
          <w:sz w:val="28"/>
          <w:szCs w:val="28"/>
        </w:rPr>
      </w:pPr>
      <w:r>
        <w:rPr>
          <w:sz w:val="28"/>
          <w:szCs w:val="28"/>
        </w:rPr>
        <w:t>3</w:t>
      </w:r>
      <w:r w:rsidR="00242007" w:rsidRPr="003544DC">
        <w:rPr>
          <w:sz w:val="28"/>
          <w:szCs w:val="28"/>
        </w:rPr>
        <w:t xml:space="preserve">. </w:t>
      </w:r>
      <w:r w:rsidR="00DE5309" w:rsidRPr="0061673B">
        <w:rPr>
          <w:sz w:val="28"/>
          <w:szCs w:val="28"/>
        </w:rPr>
        <w:t>Контроль за виконанням цього рішення покласти на членів</w:t>
      </w:r>
      <w:r w:rsidR="00DE5309">
        <w:rPr>
          <w:sz w:val="28"/>
          <w:szCs w:val="28"/>
        </w:rPr>
        <w:t xml:space="preserve"> </w:t>
      </w:r>
      <w:r w:rsidR="00DE5309" w:rsidRPr="0061673B">
        <w:rPr>
          <w:sz w:val="28"/>
          <w:szCs w:val="28"/>
        </w:rPr>
        <w:t>Національної комісії з цінних паперів та фондового ринку відповідно до</w:t>
      </w:r>
      <w:r w:rsidR="00DE5309">
        <w:rPr>
          <w:sz w:val="28"/>
          <w:szCs w:val="28"/>
        </w:rPr>
        <w:t xml:space="preserve"> </w:t>
      </w:r>
      <w:r w:rsidR="00DE5309" w:rsidRPr="0061673B">
        <w:rPr>
          <w:sz w:val="28"/>
          <w:szCs w:val="28"/>
        </w:rPr>
        <w:t>розподілу повноважень.</w:t>
      </w:r>
      <w:r w:rsidR="00242007" w:rsidRPr="003544DC">
        <w:rPr>
          <w:sz w:val="28"/>
          <w:szCs w:val="28"/>
        </w:rPr>
        <w:t xml:space="preserve"> </w:t>
      </w:r>
    </w:p>
    <w:p w:rsidR="00242007" w:rsidRDefault="00242007" w:rsidP="00242007">
      <w:pPr>
        <w:ind w:firstLine="720"/>
        <w:jc w:val="both"/>
        <w:rPr>
          <w:sz w:val="28"/>
          <w:szCs w:val="28"/>
        </w:rPr>
      </w:pPr>
    </w:p>
    <w:p w:rsidR="00007136" w:rsidRDefault="00007136" w:rsidP="00242007">
      <w:pPr>
        <w:ind w:firstLine="720"/>
        <w:jc w:val="both"/>
        <w:rPr>
          <w:sz w:val="28"/>
          <w:szCs w:val="28"/>
        </w:rPr>
      </w:pPr>
    </w:p>
    <w:p w:rsidR="00A55595" w:rsidRPr="00B61773" w:rsidRDefault="00A55595" w:rsidP="00242007">
      <w:pPr>
        <w:ind w:firstLine="720"/>
        <w:jc w:val="both"/>
        <w:rPr>
          <w:sz w:val="28"/>
          <w:szCs w:val="28"/>
        </w:rPr>
      </w:pPr>
    </w:p>
    <w:p w:rsidR="00242007" w:rsidRDefault="000F1A64" w:rsidP="00242007">
      <w:pPr>
        <w:pStyle w:val="3"/>
        <w:keepNext w:val="0"/>
        <w:ind w:firstLine="720"/>
        <w:jc w:val="both"/>
      </w:pPr>
      <w:r>
        <w:t xml:space="preserve">Т.в.о. </w:t>
      </w:r>
      <w:r w:rsidR="00242007" w:rsidRPr="00DF5233">
        <w:t>Голов</w:t>
      </w:r>
      <w:r>
        <w:t>и</w:t>
      </w:r>
      <w:r w:rsidR="00242007" w:rsidRPr="00DF5233">
        <w:t xml:space="preserve"> Комісії</w:t>
      </w:r>
      <w:r w:rsidR="00242007" w:rsidRPr="00DF5233">
        <w:tab/>
      </w:r>
      <w:r w:rsidR="00242007" w:rsidRPr="00DF5233">
        <w:tab/>
      </w:r>
      <w:r w:rsidR="00242007" w:rsidRPr="00DF5233">
        <w:tab/>
      </w:r>
      <w:r w:rsidR="00242007" w:rsidRPr="00DF5233">
        <w:tab/>
      </w:r>
      <w:r w:rsidR="00242007" w:rsidRPr="00DF5233">
        <w:tab/>
      </w:r>
      <w:r w:rsidR="00242007">
        <w:t xml:space="preserve">        </w:t>
      </w:r>
      <w:r w:rsidR="00242007" w:rsidRPr="00DF5233">
        <w:t xml:space="preserve">  </w:t>
      </w:r>
      <w:r>
        <w:t xml:space="preserve"> </w:t>
      </w:r>
      <w:r w:rsidR="00242007" w:rsidRPr="00DF5233">
        <w:t xml:space="preserve">  </w:t>
      </w:r>
      <w:r>
        <w:t>Юрій</w:t>
      </w:r>
      <w:r w:rsidR="00242007">
        <w:t xml:space="preserve"> </w:t>
      </w:r>
      <w:r>
        <w:t>БОЙКО</w:t>
      </w:r>
    </w:p>
    <w:p w:rsidR="00D925D6" w:rsidRPr="00D925D6" w:rsidRDefault="00D925D6" w:rsidP="00D925D6"/>
    <w:p w:rsidR="00242007" w:rsidRPr="00945B07" w:rsidRDefault="00242007" w:rsidP="00007136">
      <w:pPr>
        <w:pStyle w:val="5"/>
        <w:ind w:left="6946"/>
        <w:rPr>
          <w:b w:val="0"/>
          <w:i w:val="0"/>
          <w:sz w:val="24"/>
          <w:szCs w:val="24"/>
        </w:rPr>
      </w:pPr>
      <w:r w:rsidRPr="00945B07">
        <w:rPr>
          <w:b w:val="0"/>
          <w:i w:val="0"/>
          <w:sz w:val="24"/>
          <w:szCs w:val="24"/>
        </w:rPr>
        <w:t>Протокол засідання Комісії</w:t>
      </w:r>
    </w:p>
    <w:p w:rsidR="00843F94" w:rsidRDefault="00242007" w:rsidP="00945B07">
      <w:pPr>
        <w:ind w:left="6946" w:hanging="1276"/>
        <w:jc w:val="both"/>
      </w:pPr>
      <w:r w:rsidRPr="00945B07">
        <w:t xml:space="preserve">       </w:t>
      </w:r>
      <w:r w:rsidR="004A41DB" w:rsidRPr="00945B07">
        <w:tab/>
      </w:r>
      <w:r w:rsidR="00D64581">
        <w:t xml:space="preserve">від </w:t>
      </w:r>
      <w:r w:rsidR="006C2924">
        <w:t xml:space="preserve">06.10.2023 </w:t>
      </w:r>
      <w:r w:rsidR="00D64581">
        <w:t xml:space="preserve">№ </w:t>
      </w:r>
      <w:r w:rsidR="006C2924">
        <w:t>180</w:t>
      </w:r>
    </w:p>
    <w:sectPr w:rsidR="00843F94" w:rsidSect="006A6033">
      <w:headerReference w:type="default" r:id="rId7"/>
      <w:headerReference w:type="first" r:id="rId8"/>
      <w:footerReference w:type="first" r:id="rId9"/>
      <w:pgSz w:w="12240" w:h="15840"/>
      <w:pgMar w:top="1134" w:right="851" w:bottom="1560" w:left="1134" w:header="709" w:footer="2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7C" w:rsidRDefault="00834D7C" w:rsidP="00843F94">
      <w:r>
        <w:separator/>
      </w:r>
    </w:p>
  </w:endnote>
  <w:endnote w:type="continuationSeparator" w:id="0">
    <w:p w:rsidR="00834D7C" w:rsidRDefault="00834D7C" w:rsidP="0084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93" w:rsidRPr="00315093" w:rsidRDefault="00814434">
    <w:pPr>
      <w:pStyle w:val="a5"/>
      <w:rPr>
        <w:color w:val="A6A6A6" w:themeColor="background1" w:themeShade="A6"/>
        <w:sz w:val="16"/>
        <w:szCs w:val="16"/>
      </w:rPr>
    </w:pPr>
    <w:r>
      <w:rPr>
        <w:color w:val="A6A6A6" w:themeColor="background1" w:themeShade="A6"/>
        <w:sz w:val="16"/>
        <w:szCs w:val="16"/>
        <w:lang w:val="ru-RU"/>
      </w:rPr>
      <w:t xml:space="preserve"> </w:t>
    </w:r>
    <w:r w:rsidR="00875D92">
      <w:rPr>
        <w:color w:val="A6A6A6" w:themeColor="background1" w:themeShade="A6"/>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7C" w:rsidRDefault="00834D7C" w:rsidP="00843F94">
      <w:r>
        <w:separator/>
      </w:r>
    </w:p>
  </w:footnote>
  <w:footnote w:type="continuationSeparator" w:id="0">
    <w:p w:rsidR="00834D7C" w:rsidRDefault="00834D7C" w:rsidP="00843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48555"/>
      <w:docPartObj>
        <w:docPartGallery w:val="Page Numbers (Top of Page)"/>
        <w:docPartUnique/>
      </w:docPartObj>
    </w:sdtPr>
    <w:sdtEndPr/>
    <w:sdtContent>
      <w:p w:rsidR="00C14A96" w:rsidRDefault="00C14A96">
        <w:pPr>
          <w:pStyle w:val="a3"/>
          <w:jc w:val="center"/>
        </w:pPr>
        <w:r>
          <w:fldChar w:fldCharType="begin"/>
        </w:r>
        <w:r>
          <w:instrText>PAGE   \* MERGEFORMAT</w:instrText>
        </w:r>
        <w:r>
          <w:fldChar w:fldCharType="separate"/>
        </w:r>
        <w:r w:rsidR="00E34048">
          <w:rPr>
            <w:noProof/>
          </w:rPr>
          <w:t>3</w:t>
        </w:r>
        <w:r>
          <w:fldChar w:fldCharType="end"/>
        </w:r>
      </w:p>
    </w:sdtContent>
  </w:sdt>
  <w:p w:rsidR="00C14A96" w:rsidRDefault="00C14A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26F" w:rsidRPr="00D224B1" w:rsidRDefault="0075693C" w:rsidP="002D326F">
    <w:pPr>
      <w:keepNext/>
      <w:spacing w:before="120" w:after="120"/>
      <w:jc w:val="center"/>
      <w:rPr>
        <w:i/>
        <w:lang w:eastAsia="ru-RU"/>
      </w:rPr>
    </w:pPr>
    <w:r w:rsidRPr="003D3C68">
      <w:rPr>
        <w:noProof/>
      </w:rPr>
      <w:drawing>
        <wp:inline distT="0" distB="0" distL="0" distR="0">
          <wp:extent cx="495300" cy="6667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rsidR="002D326F" w:rsidRPr="00940ADB" w:rsidRDefault="002D326F" w:rsidP="002D326F">
    <w:pPr>
      <w:keepNext/>
      <w:spacing w:before="120" w:after="120"/>
      <w:jc w:val="center"/>
      <w:rPr>
        <w:b/>
        <w:sz w:val="28"/>
        <w:szCs w:val="28"/>
        <w:lang w:eastAsia="ru-RU"/>
      </w:rPr>
    </w:pPr>
    <w:r w:rsidRPr="00940ADB">
      <w:rPr>
        <w:b/>
        <w:sz w:val="28"/>
        <w:szCs w:val="28"/>
        <w:lang w:eastAsia="ru-RU"/>
      </w:rPr>
      <w:t>НАЦІОНАЛЬНА КОМІСІЯ З ЦІННИХ ПАПЕРІВ ТА ФОНДОВОГО РИНКУ</w:t>
    </w:r>
  </w:p>
  <w:p w:rsidR="002D326F" w:rsidRPr="00D224B1" w:rsidRDefault="002D326F" w:rsidP="002D326F">
    <w:pPr>
      <w:keepNext/>
      <w:tabs>
        <w:tab w:val="left" w:pos="993"/>
      </w:tabs>
      <w:spacing w:before="120" w:after="120"/>
      <w:ind w:left="567"/>
      <w:jc w:val="center"/>
      <w:rPr>
        <w:lang w:eastAsia="ru-RU"/>
      </w:rPr>
    </w:pPr>
  </w:p>
  <w:p w:rsidR="002D326F" w:rsidRPr="002D326F" w:rsidRDefault="002D326F" w:rsidP="002D326F">
    <w:pPr>
      <w:keepNext/>
      <w:spacing w:before="120" w:after="120"/>
      <w:jc w:val="center"/>
      <w:rPr>
        <w:b/>
        <w:caps/>
        <w:spacing w:val="100"/>
        <w:sz w:val="28"/>
        <w:szCs w:val="28"/>
        <w:lang w:eastAsia="ru-RU"/>
      </w:rPr>
    </w:pPr>
    <w:r w:rsidRPr="002D326F">
      <w:rPr>
        <w:b/>
        <w:caps/>
        <w:spacing w:val="100"/>
        <w:sz w:val="28"/>
        <w:szCs w:val="28"/>
        <w:lang w:eastAsia="ru-RU"/>
      </w:rPr>
      <w:t>РІШЕННЯ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07"/>
    <w:rsid w:val="000024D8"/>
    <w:rsid w:val="00007136"/>
    <w:rsid w:val="00021050"/>
    <w:rsid w:val="0004642B"/>
    <w:rsid w:val="00047031"/>
    <w:rsid w:val="00061010"/>
    <w:rsid w:val="00063487"/>
    <w:rsid w:val="00083744"/>
    <w:rsid w:val="00084AC0"/>
    <w:rsid w:val="000959A9"/>
    <w:rsid w:val="000A5D11"/>
    <w:rsid w:val="000B194D"/>
    <w:rsid w:val="000B231B"/>
    <w:rsid w:val="000B3627"/>
    <w:rsid w:val="000D7764"/>
    <w:rsid w:val="000E730A"/>
    <w:rsid w:val="000F1A64"/>
    <w:rsid w:val="000F36B7"/>
    <w:rsid w:val="00113453"/>
    <w:rsid w:val="0011541D"/>
    <w:rsid w:val="00121BB7"/>
    <w:rsid w:val="0012493E"/>
    <w:rsid w:val="00124B20"/>
    <w:rsid w:val="00136E55"/>
    <w:rsid w:val="00137B08"/>
    <w:rsid w:val="001407C2"/>
    <w:rsid w:val="00141077"/>
    <w:rsid w:val="00144118"/>
    <w:rsid w:val="00163BC9"/>
    <w:rsid w:val="00167F02"/>
    <w:rsid w:val="00170CB3"/>
    <w:rsid w:val="00175108"/>
    <w:rsid w:val="0017792A"/>
    <w:rsid w:val="0018117D"/>
    <w:rsid w:val="00184BBE"/>
    <w:rsid w:val="00194099"/>
    <w:rsid w:val="001973D7"/>
    <w:rsid w:val="001A2548"/>
    <w:rsid w:val="001A354F"/>
    <w:rsid w:val="001A70D0"/>
    <w:rsid w:val="001D16C4"/>
    <w:rsid w:val="001D69D8"/>
    <w:rsid w:val="001E4A3E"/>
    <w:rsid w:val="002100EB"/>
    <w:rsid w:val="002307F3"/>
    <w:rsid w:val="00242007"/>
    <w:rsid w:val="00244774"/>
    <w:rsid w:val="00244EC3"/>
    <w:rsid w:val="002538D1"/>
    <w:rsid w:val="00260CA6"/>
    <w:rsid w:val="00262AF4"/>
    <w:rsid w:val="002710F6"/>
    <w:rsid w:val="002740D8"/>
    <w:rsid w:val="002929B0"/>
    <w:rsid w:val="00294FE1"/>
    <w:rsid w:val="00295FD8"/>
    <w:rsid w:val="002A3AE9"/>
    <w:rsid w:val="002A6C1B"/>
    <w:rsid w:val="002B3BDA"/>
    <w:rsid w:val="002D326F"/>
    <w:rsid w:val="002D3F28"/>
    <w:rsid w:val="002D4701"/>
    <w:rsid w:val="002F1FD2"/>
    <w:rsid w:val="00301363"/>
    <w:rsid w:val="00304224"/>
    <w:rsid w:val="003048BF"/>
    <w:rsid w:val="00304A6D"/>
    <w:rsid w:val="00315093"/>
    <w:rsid w:val="00320E94"/>
    <w:rsid w:val="00323730"/>
    <w:rsid w:val="003307C6"/>
    <w:rsid w:val="00340BB0"/>
    <w:rsid w:val="003544DC"/>
    <w:rsid w:val="00370028"/>
    <w:rsid w:val="0037612C"/>
    <w:rsid w:val="00384492"/>
    <w:rsid w:val="00393046"/>
    <w:rsid w:val="003A51AC"/>
    <w:rsid w:val="003C0FC1"/>
    <w:rsid w:val="003C4C1A"/>
    <w:rsid w:val="003C6525"/>
    <w:rsid w:val="003C6A44"/>
    <w:rsid w:val="003D1C21"/>
    <w:rsid w:val="003D3C68"/>
    <w:rsid w:val="003D7D52"/>
    <w:rsid w:val="003E0220"/>
    <w:rsid w:val="003E1F90"/>
    <w:rsid w:val="003E31F6"/>
    <w:rsid w:val="003F4EE6"/>
    <w:rsid w:val="00414922"/>
    <w:rsid w:val="00423EF5"/>
    <w:rsid w:val="00425525"/>
    <w:rsid w:val="00427175"/>
    <w:rsid w:val="0044083C"/>
    <w:rsid w:val="00443CAA"/>
    <w:rsid w:val="00453A89"/>
    <w:rsid w:val="00460C3E"/>
    <w:rsid w:val="0046210E"/>
    <w:rsid w:val="00464560"/>
    <w:rsid w:val="00466187"/>
    <w:rsid w:val="00476559"/>
    <w:rsid w:val="004848C4"/>
    <w:rsid w:val="00490CF9"/>
    <w:rsid w:val="00495F11"/>
    <w:rsid w:val="004975EE"/>
    <w:rsid w:val="004A41DB"/>
    <w:rsid w:val="004B03F3"/>
    <w:rsid w:val="004B63A8"/>
    <w:rsid w:val="004B6D9F"/>
    <w:rsid w:val="004B6FCD"/>
    <w:rsid w:val="004C05EA"/>
    <w:rsid w:val="004C37CD"/>
    <w:rsid w:val="004D3FE5"/>
    <w:rsid w:val="004E6F26"/>
    <w:rsid w:val="004F1FED"/>
    <w:rsid w:val="00520BD0"/>
    <w:rsid w:val="0052131F"/>
    <w:rsid w:val="00521EC9"/>
    <w:rsid w:val="00530585"/>
    <w:rsid w:val="00535BB2"/>
    <w:rsid w:val="00536BBC"/>
    <w:rsid w:val="0054245B"/>
    <w:rsid w:val="0057231F"/>
    <w:rsid w:val="0058755A"/>
    <w:rsid w:val="00591A80"/>
    <w:rsid w:val="005A7C20"/>
    <w:rsid w:val="005B023B"/>
    <w:rsid w:val="005B537E"/>
    <w:rsid w:val="005C1137"/>
    <w:rsid w:val="005C4058"/>
    <w:rsid w:val="005C5170"/>
    <w:rsid w:val="005D7C3C"/>
    <w:rsid w:val="005E3A79"/>
    <w:rsid w:val="005E4852"/>
    <w:rsid w:val="005E7CD2"/>
    <w:rsid w:val="005F6086"/>
    <w:rsid w:val="00604404"/>
    <w:rsid w:val="00607D7F"/>
    <w:rsid w:val="00622EE2"/>
    <w:rsid w:val="00630ABF"/>
    <w:rsid w:val="00637933"/>
    <w:rsid w:val="006405A2"/>
    <w:rsid w:val="006448C7"/>
    <w:rsid w:val="00652DB4"/>
    <w:rsid w:val="00667B54"/>
    <w:rsid w:val="00671595"/>
    <w:rsid w:val="00682F6E"/>
    <w:rsid w:val="00686630"/>
    <w:rsid w:val="00696276"/>
    <w:rsid w:val="006A21CB"/>
    <w:rsid w:val="006A4C3C"/>
    <w:rsid w:val="006A6033"/>
    <w:rsid w:val="006B2D30"/>
    <w:rsid w:val="006C2924"/>
    <w:rsid w:val="006D3C79"/>
    <w:rsid w:val="006E41B5"/>
    <w:rsid w:val="006E41EC"/>
    <w:rsid w:val="006F61DD"/>
    <w:rsid w:val="00706408"/>
    <w:rsid w:val="00730083"/>
    <w:rsid w:val="0075693C"/>
    <w:rsid w:val="00761E55"/>
    <w:rsid w:val="00764EBF"/>
    <w:rsid w:val="00767D46"/>
    <w:rsid w:val="00770250"/>
    <w:rsid w:val="00780859"/>
    <w:rsid w:val="00791E72"/>
    <w:rsid w:val="00796191"/>
    <w:rsid w:val="007D2B57"/>
    <w:rsid w:val="007E71D3"/>
    <w:rsid w:val="008073DD"/>
    <w:rsid w:val="00814434"/>
    <w:rsid w:val="00821F14"/>
    <w:rsid w:val="008265E3"/>
    <w:rsid w:val="00834D7C"/>
    <w:rsid w:val="00835544"/>
    <w:rsid w:val="00836C04"/>
    <w:rsid w:val="00843F94"/>
    <w:rsid w:val="00852C03"/>
    <w:rsid w:val="00856821"/>
    <w:rsid w:val="00857000"/>
    <w:rsid w:val="008575B1"/>
    <w:rsid w:val="00857D53"/>
    <w:rsid w:val="00861EF3"/>
    <w:rsid w:val="008703BE"/>
    <w:rsid w:val="008706BB"/>
    <w:rsid w:val="0087157B"/>
    <w:rsid w:val="00873220"/>
    <w:rsid w:val="008759BA"/>
    <w:rsid w:val="00875D92"/>
    <w:rsid w:val="008817DC"/>
    <w:rsid w:val="008842B3"/>
    <w:rsid w:val="0088755D"/>
    <w:rsid w:val="00892870"/>
    <w:rsid w:val="008B2050"/>
    <w:rsid w:val="008C4D68"/>
    <w:rsid w:val="008C6CB9"/>
    <w:rsid w:val="008D5025"/>
    <w:rsid w:val="008D6ABD"/>
    <w:rsid w:val="008F5A2B"/>
    <w:rsid w:val="00920BD0"/>
    <w:rsid w:val="00931FFC"/>
    <w:rsid w:val="00940ADB"/>
    <w:rsid w:val="00942540"/>
    <w:rsid w:val="00945B07"/>
    <w:rsid w:val="009656C3"/>
    <w:rsid w:val="00974BC2"/>
    <w:rsid w:val="009879E5"/>
    <w:rsid w:val="009A54E8"/>
    <w:rsid w:val="009B20C3"/>
    <w:rsid w:val="009D25CD"/>
    <w:rsid w:val="009D708D"/>
    <w:rsid w:val="009F7BC4"/>
    <w:rsid w:val="00A05EF9"/>
    <w:rsid w:val="00A17619"/>
    <w:rsid w:val="00A2015F"/>
    <w:rsid w:val="00A3000F"/>
    <w:rsid w:val="00A51377"/>
    <w:rsid w:val="00A53B6A"/>
    <w:rsid w:val="00A53C43"/>
    <w:rsid w:val="00A55595"/>
    <w:rsid w:val="00A563AD"/>
    <w:rsid w:val="00A6277B"/>
    <w:rsid w:val="00A6759F"/>
    <w:rsid w:val="00A71C82"/>
    <w:rsid w:val="00A74510"/>
    <w:rsid w:val="00A828CE"/>
    <w:rsid w:val="00A90AC3"/>
    <w:rsid w:val="00A90E4D"/>
    <w:rsid w:val="00A910B4"/>
    <w:rsid w:val="00A95578"/>
    <w:rsid w:val="00AA392F"/>
    <w:rsid w:val="00AA56C1"/>
    <w:rsid w:val="00AB03CD"/>
    <w:rsid w:val="00AB172B"/>
    <w:rsid w:val="00AE0A74"/>
    <w:rsid w:val="00AE20B8"/>
    <w:rsid w:val="00B12C7F"/>
    <w:rsid w:val="00B4010E"/>
    <w:rsid w:val="00B4159E"/>
    <w:rsid w:val="00B47981"/>
    <w:rsid w:val="00B5082F"/>
    <w:rsid w:val="00B53034"/>
    <w:rsid w:val="00B6487E"/>
    <w:rsid w:val="00B909C7"/>
    <w:rsid w:val="00B94704"/>
    <w:rsid w:val="00BA3C02"/>
    <w:rsid w:val="00BA7D73"/>
    <w:rsid w:val="00BC4AB6"/>
    <w:rsid w:val="00BD69A0"/>
    <w:rsid w:val="00BD6AA5"/>
    <w:rsid w:val="00BE21C8"/>
    <w:rsid w:val="00BF78BE"/>
    <w:rsid w:val="00C14A96"/>
    <w:rsid w:val="00C15CE4"/>
    <w:rsid w:val="00C23907"/>
    <w:rsid w:val="00C251D7"/>
    <w:rsid w:val="00C26AA9"/>
    <w:rsid w:val="00C3393B"/>
    <w:rsid w:val="00C50D98"/>
    <w:rsid w:val="00C54030"/>
    <w:rsid w:val="00C60778"/>
    <w:rsid w:val="00C61632"/>
    <w:rsid w:val="00C73D2F"/>
    <w:rsid w:val="00C800C8"/>
    <w:rsid w:val="00C81F41"/>
    <w:rsid w:val="00C90733"/>
    <w:rsid w:val="00C970DA"/>
    <w:rsid w:val="00CB1282"/>
    <w:rsid w:val="00CB2A62"/>
    <w:rsid w:val="00CB35DA"/>
    <w:rsid w:val="00CC19A9"/>
    <w:rsid w:val="00CC30BB"/>
    <w:rsid w:val="00CE064A"/>
    <w:rsid w:val="00D0383F"/>
    <w:rsid w:val="00D07C9E"/>
    <w:rsid w:val="00D102BD"/>
    <w:rsid w:val="00D13401"/>
    <w:rsid w:val="00D20AA1"/>
    <w:rsid w:val="00D224B1"/>
    <w:rsid w:val="00D2760E"/>
    <w:rsid w:val="00D3290E"/>
    <w:rsid w:val="00D33708"/>
    <w:rsid w:val="00D339D8"/>
    <w:rsid w:val="00D36F8C"/>
    <w:rsid w:val="00D4217A"/>
    <w:rsid w:val="00D616DD"/>
    <w:rsid w:val="00D64581"/>
    <w:rsid w:val="00D754D2"/>
    <w:rsid w:val="00D8609F"/>
    <w:rsid w:val="00D925D6"/>
    <w:rsid w:val="00D94906"/>
    <w:rsid w:val="00DB52EC"/>
    <w:rsid w:val="00DC3285"/>
    <w:rsid w:val="00DC4159"/>
    <w:rsid w:val="00DC4DEF"/>
    <w:rsid w:val="00DD4AA3"/>
    <w:rsid w:val="00DE0703"/>
    <w:rsid w:val="00DE5309"/>
    <w:rsid w:val="00DF5B3D"/>
    <w:rsid w:val="00DF6DCF"/>
    <w:rsid w:val="00E053F0"/>
    <w:rsid w:val="00E1087F"/>
    <w:rsid w:val="00E10CF4"/>
    <w:rsid w:val="00E15C59"/>
    <w:rsid w:val="00E30735"/>
    <w:rsid w:val="00E34048"/>
    <w:rsid w:val="00E44B99"/>
    <w:rsid w:val="00E52E56"/>
    <w:rsid w:val="00E530A2"/>
    <w:rsid w:val="00E604E3"/>
    <w:rsid w:val="00E608E9"/>
    <w:rsid w:val="00EA1EA6"/>
    <w:rsid w:val="00EA2B08"/>
    <w:rsid w:val="00EA3039"/>
    <w:rsid w:val="00EB3400"/>
    <w:rsid w:val="00EB459D"/>
    <w:rsid w:val="00EB7489"/>
    <w:rsid w:val="00EC3A7E"/>
    <w:rsid w:val="00EC6064"/>
    <w:rsid w:val="00ED0B98"/>
    <w:rsid w:val="00F20FD9"/>
    <w:rsid w:val="00F44299"/>
    <w:rsid w:val="00F45155"/>
    <w:rsid w:val="00F70FE9"/>
    <w:rsid w:val="00F961D0"/>
    <w:rsid w:val="00FC39FE"/>
    <w:rsid w:val="00FD5C3D"/>
    <w:rsid w:val="00FD6ECA"/>
    <w:rsid w:val="00FE69EE"/>
    <w:rsid w:val="00FF0A96"/>
    <w:rsid w:val="00FF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EE2BA4-DAAD-4C79-AC27-D65F0B08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F94"/>
    <w:pPr>
      <w:spacing w:after="0" w:line="240" w:lineRule="auto"/>
    </w:pPr>
    <w:rPr>
      <w:rFonts w:ascii="Times New Roman" w:hAnsi="Times New Roman" w:cs="Times New Roman"/>
      <w:sz w:val="24"/>
      <w:szCs w:val="24"/>
    </w:rPr>
  </w:style>
  <w:style w:type="paragraph" w:styleId="3">
    <w:name w:val="heading 3"/>
    <w:basedOn w:val="a"/>
    <w:next w:val="a"/>
    <w:link w:val="30"/>
    <w:qFormat/>
    <w:rsid w:val="00242007"/>
    <w:pPr>
      <w:keepNext/>
      <w:jc w:val="center"/>
      <w:outlineLvl w:val="2"/>
    </w:pPr>
    <w:rPr>
      <w:b/>
      <w:noProof/>
      <w:sz w:val="28"/>
      <w:szCs w:val="20"/>
    </w:rPr>
  </w:style>
  <w:style w:type="paragraph" w:styleId="5">
    <w:name w:val="heading 5"/>
    <w:basedOn w:val="a"/>
    <w:next w:val="a"/>
    <w:link w:val="50"/>
    <w:qFormat/>
    <w:rsid w:val="00242007"/>
    <w:pPr>
      <w:spacing w:before="240" w:after="60"/>
      <w:outlineLvl w:val="4"/>
    </w:pPr>
    <w:rPr>
      <w:b/>
      <w:bCs/>
      <w:i/>
      <w:iCs/>
      <w:noProo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uiPriority w:val="99"/>
    <w:semiHidden/>
    <w:rsid w:val="00843F94"/>
    <w:pPr>
      <w:spacing w:before="150" w:after="150"/>
      <w:jc w:val="center"/>
    </w:pPr>
  </w:style>
  <w:style w:type="character" w:customStyle="1" w:styleId="rvts46">
    <w:name w:val="rvts46"/>
    <w:rsid w:val="00843F94"/>
    <w:rPr>
      <w:rFonts w:ascii="Times New Roman" w:hAnsi="Times New Roman"/>
      <w:i/>
      <w:sz w:val="24"/>
      <w:u w:val="none"/>
      <w:effect w:val="none"/>
    </w:rPr>
  </w:style>
  <w:style w:type="paragraph" w:styleId="a3">
    <w:name w:val="header"/>
    <w:basedOn w:val="a"/>
    <w:link w:val="a4"/>
    <w:uiPriority w:val="99"/>
    <w:unhideWhenUsed/>
    <w:rsid w:val="00843F94"/>
    <w:pPr>
      <w:tabs>
        <w:tab w:val="center" w:pos="4844"/>
        <w:tab w:val="right" w:pos="9689"/>
      </w:tabs>
    </w:pPr>
  </w:style>
  <w:style w:type="character" w:customStyle="1" w:styleId="a4">
    <w:name w:val="Верхний колонтитул Знак"/>
    <w:basedOn w:val="a0"/>
    <w:link w:val="a3"/>
    <w:uiPriority w:val="99"/>
    <w:locked/>
    <w:rsid w:val="00843F94"/>
    <w:rPr>
      <w:rFonts w:ascii="Times New Roman" w:hAnsi="Times New Roman" w:cs="Times New Roman"/>
      <w:sz w:val="24"/>
      <w:szCs w:val="24"/>
      <w:lang w:val="uk-UA" w:eastAsia="uk-UA"/>
    </w:rPr>
  </w:style>
  <w:style w:type="paragraph" w:styleId="a5">
    <w:name w:val="footer"/>
    <w:basedOn w:val="a"/>
    <w:link w:val="a6"/>
    <w:uiPriority w:val="99"/>
    <w:unhideWhenUsed/>
    <w:rsid w:val="00843F94"/>
    <w:pPr>
      <w:tabs>
        <w:tab w:val="center" w:pos="4844"/>
        <w:tab w:val="right" w:pos="9689"/>
      </w:tabs>
    </w:pPr>
  </w:style>
  <w:style w:type="character" w:customStyle="1" w:styleId="a6">
    <w:name w:val="Нижний колонтитул Знак"/>
    <w:basedOn w:val="a0"/>
    <w:link w:val="a5"/>
    <w:uiPriority w:val="99"/>
    <w:locked/>
    <w:rsid w:val="00843F94"/>
    <w:rPr>
      <w:rFonts w:ascii="Times New Roman" w:hAnsi="Times New Roman" w:cs="Times New Roman"/>
      <w:sz w:val="24"/>
      <w:szCs w:val="24"/>
      <w:lang w:val="uk-UA" w:eastAsia="uk-UA"/>
    </w:rPr>
  </w:style>
  <w:style w:type="character" w:customStyle="1" w:styleId="30">
    <w:name w:val="Заголовок 3 Знак"/>
    <w:basedOn w:val="a0"/>
    <w:link w:val="3"/>
    <w:rsid w:val="00242007"/>
    <w:rPr>
      <w:rFonts w:ascii="Times New Roman" w:hAnsi="Times New Roman" w:cs="Times New Roman"/>
      <w:b/>
      <w:noProof/>
      <w:sz w:val="28"/>
      <w:szCs w:val="20"/>
    </w:rPr>
  </w:style>
  <w:style w:type="character" w:customStyle="1" w:styleId="50">
    <w:name w:val="Заголовок 5 Знак"/>
    <w:basedOn w:val="a0"/>
    <w:link w:val="5"/>
    <w:rsid w:val="00242007"/>
    <w:rPr>
      <w:rFonts w:ascii="Times New Roman" w:hAnsi="Times New Roman" w:cs="Times New Roman"/>
      <w:b/>
      <w:bCs/>
      <w:i/>
      <w:iCs/>
      <w:noProof/>
      <w:sz w:val="26"/>
      <w:szCs w:val="26"/>
    </w:rPr>
  </w:style>
  <w:style w:type="paragraph" w:styleId="a7">
    <w:name w:val="Body Text Indent"/>
    <w:basedOn w:val="a"/>
    <w:link w:val="a8"/>
    <w:rsid w:val="00242007"/>
    <w:pPr>
      <w:ind w:firstLine="720"/>
      <w:jc w:val="center"/>
    </w:pPr>
    <w:rPr>
      <w:noProof/>
      <w:sz w:val="28"/>
      <w:szCs w:val="20"/>
    </w:rPr>
  </w:style>
  <w:style w:type="character" w:customStyle="1" w:styleId="a8">
    <w:name w:val="Основной текст с отступом Знак"/>
    <w:basedOn w:val="a0"/>
    <w:link w:val="a7"/>
    <w:rsid w:val="00242007"/>
    <w:rPr>
      <w:rFonts w:ascii="Times New Roman" w:hAnsi="Times New Roman" w:cs="Times New Roman"/>
      <w:noProof/>
      <w:sz w:val="28"/>
      <w:szCs w:val="20"/>
    </w:rPr>
  </w:style>
  <w:style w:type="character" w:customStyle="1" w:styleId="HTML1">
    <w:name w:val="Друкарська машинка HTML1"/>
    <w:rsid w:val="00242007"/>
    <w:rPr>
      <w:sz w:val="20"/>
    </w:rPr>
  </w:style>
  <w:style w:type="paragraph" w:styleId="a9">
    <w:name w:val="Balloon Text"/>
    <w:basedOn w:val="a"/>
    <w:link w:val="aa"/>
    <w:uiPriority w:val="99"/>
    <w:semiHidden/>
    <w:unhideWhenUsed/>
    <w:rsid w:val="00320E94"/>
    <w:rPr>
      <w:rFonts w:ascii="Tahoma" w:hAnsi="Tahoma" w:cs="Tahoma"/>
      <w:sz w:val="16"/>
      <w:szCs w:val="16"/>
    </w:rPr>
  </w:style>
  <w:style w:type="character" w:customStyle="1" w:styleId="aa">
    <w:name w:val="Текст выноски Знак"/>
    <w:basedOn w:val="a0"/>
    <w:link w:val="a9"/>
    <w:uiPriority w:val="99"/>
    <w:semiHidden/>
    <w:rsid w:val="00320E94"/>
    <w:rPr>
      <w:rFonts w:ascii="Tahoma" w:hAnsi="Tahoma" w:cs="Tahoma"/>
      <w:sz w:val="16"/>
      <w:szCs w:val="16"/>
    </w:rPr>
  </w:style>
  <w:style w:type="paragraph" w:styleId="ab">
    <w:name w:val="Normal (Web)"/>
    <w:basedOn w:val="a"/>
    <w:unhideWhenUsed/>
    <w:rsid w:val="003544DC"/>
    <w:pPr>
      <w:spacing w:before="100" w:beforeAutospacing="1" w:after="100" w:afterAutospacing="1"/>
    </w:pPr>
    <w:rPr>
      <w:lang w:val="ru-RU" w:eastAsia="ru-RU"/>
    </w:rPr>
  </w:style>
  <w:style w:type="character" w:customStyle="1" w:styleId="rvts0">
    <w:name w:val="rvts0"/>
    <w:basedOn w:val="a0"/>
    <w:rsid w:val="005E3A79"/>
  </w:style>
  <w:style w:type="paragraph" w:customStyle="1" w:styleId="rvps2">
    <w:name w:val="rvps2"/>
    <w:basedOn w:val="a"/>
    <w:rsid w:val="005E3A79"/>
    <w:pPr>
      <w:spacing w:before="100" w:beforeAutospacing="1" w:after="100" w:afterAutospacing="1"/>
    </w:pPr>
    <w:rPr>
      <w:lang w:val="ru-RU" w:eastAsia="ru-RU"/>
    </w:rPr>
  </w:style>
  <w:style w:type="character" w:styleId="ac">
    <w:name w:val="Hyperlink"/>
    <w:basedOn w:val="a0"/>
    <w:uiPriority w:val="99"/>
    <w:semiHidden/>
    <w:unhideWhenUsed/>
    <w:rsid w:val="0012493E"/>
    <w:rPr>
      <w:color w:val="0000FF"/>
      <w:u w:val="single"/>
    </w:rPr>
  </w:style>
  <w:style w:type="paragraph" w:customStyle="1" w:styleId="rvps7">
    <w:name w:val="rvps7"/>
    <w:basedOn w:val="a"/>
    <w:rsid w:val="00A6277B"/>
    <w:pPr>
      <w:spacing w:before="100" w:beforeAutospacing="1" w:after="100" w:afterAutospacing="1"/>
    </w:pPr>
  </w:style>
  <w:style w:type="character" w:customStyle="1" w:styleId="rvts15">
    <w:name w:val="rvts15"/>
    <w:basedOn w:val="a0"/>
    <w:rsid w:val="00A6277B"/>
  </w:style>
  <w:style w:type="character" w:customStyle="1" w:styleId="fontstyle01">
    <w:name w:val="fontstyle01"/>
    <w:basedOn w:val="a0"/>
    <w:rsid w:val="0054245B"/>
    <w:rPr>
      <w:rFonts w:ascii="TimesNewRomanPSMT" w:hAnsi="TimesNewRomanPSMT" w:hint="default"/>
      <w:b w:val="0"/>
      <w:bCs w:val="0"/>
      <w:i w:val="0"/>
      <w:iCs w:val="0"/>
      <w:color w:val="000000"/>
      <w:sz w:val="28"/>
      <w:szCs w:val="28"/>
    </w:rPr>
  </w:style>
  <w:style w:type="paragraph" w:styleId="ad">
    <w:name w:val="List Paragraph"/>
    <w:basedOn w:val="a"/>
    <w:uiPriority w:val="34"/>
    <w:qFormat/>
    <w:rsid w:val="0054245B"/>
    <w:pPr>
      <w:ind w:left="720"/>
      <w:contextualSpacing/>
    </w:pPr>
  </w:style>
  <w:style w:type="character" w:customStyle="1" w:styleId="markedcontent">
    <w:name w:val="markedcontent"/>
    <w:basedOn w:val="a0"/>
    <w:uiPriority w:val="99"/>
    <w:rsid w:val="003E0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6972">
      <w:bodyDiv w:val="1"/>
      <w:marLeft w:val="0"/>
      <w:marRight w:val="0"/>
      <w:marTop w:val="0"/>
      <w:marBottom w:val="0"/>
      <w:divBdr>
        <w:top w:val="none" w:sz="0" w:space="0" w:color="auto"/>
        <w:left w:val="none" w:sz="0" w:space="0" w:color="auto"/>
        <w:bottom w:val="none" w:sz="0" w:space="0" w:color="auto"/>
        <w:right w:val="none" w:sz="0" w:space="0" w:color="auto"/>
      </w:divBdr>
    </w:div>
    <w:div w:id="5923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naida.misiuna\Downloads\&#1041;&#1083;&#1072;&#1085;&#1082;%20&#1056;i&#1096;&#1077;&#1085;&#1085;&#1103;%20&#1050;&#1086;&#1084;i&#1089;i&#11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007E-F57A-4CF7-86FC-1DD28447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Рiшення Комiсiї</Template>
  <TotalTime>5</TotalTime>
  <Pages>3</Pages>
  <Words>3444</Words>
  <Characters>1964</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НКЦПФР</vt:lpstr>
      <vt:lpstr>НКЦПФР</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НКЦПФР</dc:title>
  <dc:creator>Admin</dc:creator>
  <dc:description>Бланк Рішення Комісії</dc:description>
  <cp:lastModifiedBy>gavrylyuk</cp:lastModifiedBy>
  <cp:revision>3</cp:revision>
  <cp:lastPrinted>2021-09-06T12:22:00Z</cp:lastPrinted>
  <dcterms:created xsi:type="dcterms:W3CDTF">2023-10-06T10:59:00Z</dcterms:created>
  <dcterms:modified xsi:type="dcterms:W3CDTF">2023-10-09T10:27:00Z</dcterms:modified>
</cp:coreProperties>
</file>