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00" w:after="100" w:line="240"/>
        <w:ind w:right="0" w:left="0" w:firstLine="0"/>
        <w:jc w:val="center"/>
        <w:rPr>
          <w:rFonts w:ascii="Times New Roman" w:hAnsi="Times New Roman" w:cs="Times New Roman" w:eastAsia="Times New Roman"/>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МІНІСТЕРСТВО ДОХОДІВ І ЗБОРІВ УКРАЇНИ</w:t>
      </w:r>
    </w:p>
    <w:p>
      <w:pPr>
        <w:spacing w:before="100" w:after="100" w:line="240"/>
        <w:ind w:right="0" w:left="0" w:firstLine="0"/>
        <w:jc w:val="center"/>
        <w:rPr>
          <w:rFonts w:ascii="Times New Roman" w:hAnsi="Times New Roman" w:cs="Times New Roman" w:eastAsia="Times New Roman"/>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ЗАГАЛЬНОДОСТУПНИЙ ІНФОРМАЦІЙНО-ДОВІДКОВИЙ РЕСУРС "ЗІР"</w:t>
      </w:r>
    </w:p>
    <w:p>
      <w:pPr>
        <w:spacing w:before="100" w:after="100" w:line="240"/>
        <w:ind w:right="0" w:left="0" w:firstLine="0"/>
        <w:jc w:val="center"/>
        <w:rPr>
          <w:rFonts w:ascii="Times New Roman" w:hAnsi="Times New Roman" w:cs="Times New Roman" w:eastAsia="Times New Roman"/>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ЗАПИТАННЯ-ВІДПОВІДІ</w:t>
      </w:r>
    </w:p>
    <w:p>
      <w:pPr>
        <w:spacing w:before="100" w:after="100" w:line="240"/>
        <w:ind w:right="0" w:left="0" w:firstLine="0"/>
        <w:jc w:val="both"/>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Питання:</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Як платники особливого податку на операції з відчуження цінних паперів та операцій з деривативами можуть задекларувати податкові зобов'язання за звітні періоди 2013 року, якщо ними у I та II кварталах не використано право на подання запропонованої Міндоходів </w:t>
      </w:r>
      <w:r>
        <w:rPr>
          <w:rFonts w:ascii="Times New Roman" w:hAnsi="Times New Roman" w:cs="Times New Roman" w:eastAsia="Times New Roman"/>
          <w:color w:val="0000FF"/>
          <w:spacing w:val="0"/>
          <w:position w:val="0"/>
          <w:sz w:val="24"/>
          <w:shd w:fill="auto" w:val="clear"/>
        </w:rPr>
        <w:t xml:space="preserve">форми декларації</w:t>
      </w:r>
      <w:r>
        <w:rPr>
          <w:rFonts w:ascii="Times New Roman" w:hAnsi="Times New Roman" w:cs="Times New Roman" w:eastAsia="Times New Roman"/>
          <w:color w:val="auto"/>
          <w:spacing w:val="0"/>
          <w:position w:val="0"/>
          <w:sz w:val="24"/>
          <w:shd w:fill="auto" w:val="clear"/>
        </w:rPr>
        <w:t xml:space="preserve"> з цього податку?</w:t>
      </w:r>
    </w:p>
    <w:p>
      <w:pPr>
        <w:spacing w:before="100" w:after="100" w:line="240"/>
        <w:ind w:right="0" w:left="0" w:firstLine="0"/>
        <w:jc w:val="both"/>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Відповідь:</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FF"/>
          <w:spacing w:val="0"/>
          <w:position w:val="0"/>
          <w:sz w:val="24"/>
          <w:shd w:fill="auto" w:val="clear"/>
        </w:rPr>
        <w:t xml:space="preserve">Пунктом 49.2 ст. 49 Податкового кодексу України від 02 грудня 2010 року N 2755-VI</w:t>
      </w:r>
      <w:r>
        <w:rPr>
          <w:rFonts w:ascii="Times New Roman" w:hAnsi="Times New Roman" w:cs="Times New Roman" w:eastAsia="Times New Roman"/>
          <w:color w:val="auto"/>
          <w:spacing w:val="0"/>
          <w:position w:val="0"/>
          <w:sz w:val="24"/>
          <w:shd w:fill="auto" w:val="clear"/>
        </w:rPr>
        <w:t xml:space="preserve">, зі змінами та доповненнями (далі - ПКУ), передбачено, що платник податків зобов'язаний за кожний встановлений ПКУ звітний період подавати податкові декларації щодо кожного окремого податку, платником якого він є, відповідно до ПКУ незалежно від того, чи провадив такий платник податку господарську діяльність у звітному періоді.</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Відповідно до </w:t>
      </w:r>
      <w:r>
        <w:rPr>
          <w:rFonts w:ascii="Times New Roman" w:hAnsi="Times New Roman" w:cs="Times New Roman" w:eastAsia="Times New Roman"/>
          <w:color w:val="0000FF"/>
          <w:spacing w:val="0"/>
          <w:position w:val="0"/>
          <w:sz w:val="24"/>
          <w:shd w:fill="auto" w:val="clear"/>
        </w:rPr>
        <w:t xml:space="preserve">п. 219.4 ст. 219 ПКУ</w:t>
      </w:r>
      <w:r>
        <w:rPr>
          <w:rFonts w:ascii="Times New Roman" w:hAnsi="Times New Roman" w:cs="Times New Roman" w:eastAsia="Times New Roman"/>
          <w:color w:val="auto"/>
          <w:spacing w:val="0"/>
          <w:position w:val="0"/>
          <w:sz w:val="24"/>
          <w:shd w:fill="auto" w:val="clear"/>
        </w:rPr>
        <w:t xml:space="preserve"> базовим податковим періодом для складання та подання звітності з особливого податку на операції з відчуження цінних паперів та операцій з деривативами (далі - особливий податок) є календарний квартал. Звітність подається за правилами, визначеними </w:t>
      </w:r>
      <w:r>
        <w:rPr>
          <w:rFonts w:ascii="Times New Roman" w:hAnsi="Times New Roman" w:cs="Times New Roman" w:eastAsia="Times New Roman"/>
          <w:color w:val="0000FF"/>
          <w:spacing w:val="0"/>
          <w:position w:val="0"/>
          <w:sz w:val="24"/>
          <w:shd w:fill="auto" w:val="clear"/>
        </w:rPr>
        <w:t xml:space="preserve">ст. 46 ПКУ</w:t>
      </w: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 зв'язку з відсутністю форм звітності Міндоходів було розроблено проект наказу "Про затвердження Декларації з особливого податку на операції з відчуження цінних паперів та операцій з деривативами, Порядку заповнення та подання Декларації з особливого податку на операції з відчуження цінних паперів та операцій з деривативами" та запропоновано платникам, до затвердження відповідного наказу, використовувати форму декларації, приведену у цьому проекті.</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FF"/>
          <w:spacing w:val="0"/>
          <w:position w:val="0"/>
          <w:sz w:val="24"/>
          <w:shd w:fill="auto" w:val="clear"/>
        </w:rPr>
        <w:t xml:space="preserve">Наказом Міністерства доходів і зборів України від 19.07.2013 N 288</w:t>
      </w:r>
      <w:r>
        <w:rPr>
          <w:rFonts w:ascii="Times New Roman" w:hAnsi="Times New Roman" w:cs="Times New Roman" w:eastAsia="Times New Roman"/>
          <w:color w:val="auto"/>
          <w:spacing w:val="0"/>
          <w:position w:val="0"/>
          <w:sz w:val="24"/>
          <w:shd w:fill="auto" w:val="clear"/>
        </w:rPr>
        <w:t xml:space="preserve">, зареєстрованим в Міністерстві юстиції України 09.08.2013 за N 1372/23904, затверджено форми звітності з особливого податку. Наказ набрав чинності з 20.08.2013.</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Декларація з особливого податку, форма якої затверджена </w:t>
      </w:r>
      <w:r>
        <w:rPr>
          <w:rFonts w:ascii="Times New Roman" w:hAnsi="Times New Roman" w:cs="Times New Roman" w:eastAsia="Times New Roman"/>
          <w:color w:val="0000FF"/>
          <w:spacing w:val="0"/>
          <w:position w:val="0"/>
          <w:sz w:val="24"/>
          <w:shd w:fill="auto" w:val="clear"/>
        </w:rPr>
        <w:t xml:space="preserve">наказом Міністерства доходів і зборів України від 19.07.2013 N 288</w:t>
      </w:r>
      <w:r>
        <w:rPr>
          <w:rFonts w:ascii="Times New Roman" w:hAnsi="Times New Roman" w:cs="Times New Roman" w:eastAsia="Times New Roman"/>
          <w:color w:val="auto"/>
          <w:spacing w:val="0"/>
          <w:position w:val="0"/>
          <w:sz w:val="24"/>
          <w:shd w:fill="auto" w:val="clear"/>
        </w:rPr>
        <w:t xml:space="preserve">, використовується платниками цього податку починаючи з III кварталу 2013 року.</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Якщо платником особливого податку не подані </w:t>
      </w:r>
      <w:r>
        <w:rPr>
          <w:rFonts w:ascii="Times New Roman" w:hAnsi="Times New Roman" w:cs="Times New Roman" w:eastAsia="Times New Roman"/>
          <w:color w:val="0000FF"/>
          <w:spacing w:val="0"/>
          <w:position w:val="0"/>
          <w:sz w:val="24"/>
          <w:shd w:fill="auto" w:val="clear"/>
        </w:rPr>
        <w:t xml:space="preserve">декларації</w:t>
      </w:r>
      <w:r>
        <w:rPr>
          <w:rFonts w:ascii="Times New Roman" w:hAnsi="Times New Roman" w:cs="Times New Roman" w:eastAsia="Times New Roman"/>
          <w:color w:val="auto"/>
          <w:spacing w:val="0"/>
          <w:position w:val="0"/>
          <w:sz w:val="24"/>
          <w:shd w:fill="auto" w:val="clear"/>
        </w:rPr>
        <w:t xml:space="preserve"> за I та II квартали 2013 року за запропонованою Міндоходів формою, то такий платник може у декларації з особливого податку за III квартал 2013 року відобразити підсумкові показники за I-III квартали 2013 року та надати разом з такою декларацією письмове пояснення у довільній формі із зазначенням податкових зобов'язань щодо кожного окремого звітного кварталу.</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Інформаційно-довідковий департамент Міністерства доходів і зборів України</w:t>
      </w: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Відповіді на питання щодо оподаткування, </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i/>
          <w:color w:val="auto"/>
          <w:spacing w:val="0"/>
          <w:position w:val="0"/>
          <w:sz w:val="24"/>
          <w:shd w:fill="auto" w:val="clear"/>
        </w:rPr>
        <w:t xml:space="preserve">митної справи та єдиного соціального внеску на </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i/>
          <w:color w:val="auto"/>
          <w:spacing w:val="0"/>
          <w:position w:val="0"/>
          <w:sz w:val="24"/>
          <w:shd w:fill="auto" w:val="clear"/>
        </w:rPr>
        <w:t xml:space="preserve">загальнообов'язкове державне соціальне страхування </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i/>
          <w:color w:val="auto"/>
          <w:spacing w:val="0"/>
          <w:position w:val="0"/>
          <w:sz w:val="24"/>
          <w:shd w:fill="auto" w:val="clear"/>
        </w:rPr>
        <w:t xml:space="preserve">можна отримати за телефоном 0-800-501-007 </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безкоштовно зі стаціонарних телефонів)</w:t>
      </w: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right"/>
        <w:rPr>
          <w:rFonts w:ascii="Times New Roman" w:hAnsi="Times New Roman" w:cs="Times New Roman" w:eastAsia="Times New Roman"/>
          <w:color w:val="0000FF"/>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Всеукраїнська мережа ЛІГА:ЗАКОН </w:t>
      </w:r>
      <w:r>
        <w:rPr>
          <w:rFonts w:ascii="Times New Roman" w:hAnsi="Times New Roman" w:cs="Times New Roman" w:eastAsia="Times New Roman"/>
          <w:color w:val="auto"/>
          <w:spacing w:val="0"/>
          <w:position w:val="0"/>
          <w:sz w:val="24"/>
          <w:shd w:fill="auto" w:val="clear"/>
        </w:rPr>
        <w:br/>
      </w:r>
      <w:hyperlink xmlns:r="http://schemas.openxmlformats.org/officeDocument/2006/relationships" r:id="docRId0">
        <w:r>
          <w:rPr>
            <w:rFonts w:ascii="Times New Roman" w:hAnsi="Times New Roman" w:cs="Times New Roman" w:eastAsia="Times New Roman"/>
            <w:b/>
            <w:color w:val="0000FF"/>
            <w:spacing w:val="0"/>
            <w:position w:val="0"/>
            <w:sz w:val="24"/>
            <w:u w:val="single"/>
            <w:shd w:fill="auto" w:val="clear"/>
          </w:rPr>
          <w:t xml:space="preserve">www.ligazakon.ua</w:t>
        </w:r>
      </w:hyperlink>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w:t>
      </w:r>
    </w:p>
    <w:p>
      <w:pPr>
        <w:spacing w:before="100" w:after="10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Матеріали ресурсу "ЗІР" представлені у системах ЛІГА:ЗАКОН </w:t>
      </w:r>
      <w:r>
        <w:rPr>
          <w:rFonts w:ascii="Times New Roman" w:hAnsi="Times New Roman" w:cs="Times New Roman" w:eastAsia="Times New Roman"/>
          <w:color w:val="auto"/>
          <w:spacing w:val="0"/>
          <w:position w:val="0"/>
          <w:sz w:val="20"/>
          <w:shd w:fill="auto" w:val="clear"/>
        </w:rPr>
        <w:br/>
      </w:r>
      <w:r>
        <w:rPr>
          <w:rFonts w:ascii="Times New Roman" w:hAnsi="Times New Roman" w:cs="Times New Roman" w:eastAsia="Times New Roman"/>
          <w:i/>
          <w:color w:val="auto"/>
          <w:spacing w:val="0"/>
          <w:position w:val="0"/>
          <w:sz w:val="20"/>
          <w:shd w:fill="auto" w:val="clear"/>
        </w:rPr>
        <w:t xml:space="preserve">за погодженням з Міністерством доходів і зборів України (zir.minrd.gov.ua)</w:t>
      </w:r>
    </w:p>
    <w:p>
      <w:pPr>
        <w:spacing w:before="100" w:after="10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Матеріали, розміщені в системах інформаційно-правового забезпечення ЛІГА:ЗАКОН, </w:t>
      </w:r>
      <w:r>
        <w:rPr>
          <w:rFonts w:ascii="Times New Roman" w:hAnsi="Times New Roman" w:cs="Times New Roman" w:eastAsia="Times New Roman"/>
          <w:color w:val="auto"/>
          <w:spacing w:val="0"/>
          <w:position w:val="0"/>
          <w:sz w:val="20"/>
          <w:shd w:fill="auto" w:val="clear"/>
        </w:rPr>
        <w:br/>
      </w:r>
      <w:r>
        <w:rPr>
          <w:rFonts w:ascii="Times New Roman" w:hAnsi="Times New Roman" w:cs="Times New Roman" w:eastAsia="Times New Roman"/>
          <w:i/>
          <w:color w:val="auto"/>
          <w:spacing w:val="0"/>
          <w:position w:val="0"/>
          <w:sz w:val="20"/>
          <w:shd w:fill="auto" w:val="clear"/>
        </w:rPr>
        <w:t xml:space="preserve">не можуть бути використані в будь-яких інших електронних базах або друкованих виданнях.</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8230"/>
        <w:gridCol w:w="1215"/>
      </w:tblGrid>
      <w:tr>
        <w:trPr>
          <w:trHeight w:val="1" w:hRule="atLeast"/>
          <w:jc w:val="center"/>
        </w:trPr>
        <w:tc>
          <w:tcPr>
            <w:tcW w:w="8230"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 "Інформаційно-аналітичний центр "ЛІГА", 2014</w:t>
              <w:br/>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 "ЛІГА ЗАКОН", 2014</w:t>
            </w:r>
          </w:p>
        </w:tc>
        <w:tc>
          <w:tcPr>
            <w:tcW w:w="1215"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ligazakon.ua/?syst20/"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