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320" w:rsidRPr="00A5622F" w:rsidRDefault="00F95320" w:rsidP="00F95320">
      <w:pPr>
        <w:spacing w:after="0"/>
        <w:jc w:val="center"/>
        <w:rPr>
          <w:rFonts w:ascii="Times New Roman" w:hAnsi="Times New Roman" w:cs="Times New Roman"/>
          <w:b/>
          <w:sz w:val="28"/>
          <w:szCs w:val="28"/>
        </w:rPr>
      </w:pPr>
      <w:r w:rsidRPr="00A5622F">
        <w:rPr>
          <w:rFonts w:ascii="Times New Roman" w:hAnsi="Times New Roman" w:cs="Times New Roman"/>
          <w:b/>
          <w:sz w:val="28"/>
          <w:szCs w:val="28"/>
        </w:rPr>
        <w:t>Порівняльна таблиця до</w:t>
      </w:r>
      <w:r w:rsidR="0098688E">
        <w:rPr>
          <w:rFonts w:ascii="Times New Roman" w:hAnsi="Times New Roman" w:cs="Times New Roman"/>
          <w:b/>
          <w:sz w:val="28"/>
          <w:szCs w:val="28"/>
        </w:rPr>
        <w:t xml:space="preserve"> проєкту з</w:t>
      </w:r>
      <w:r w:rsidRPr="00A5622F">
        <w:rPr>
          <w:rFonts w:ascii="Times New Roman" w:hAnsi="Times New Roman" w:cs="Times New Roman"/>
          <w:b/>
          <w:sz w:val="28"/>
          <w:szCs w:val="28"/>
        </w:rPr>
        <w:t xml:space="preserve">мін до Положення щодо пруденційних нормативів професійної діяльності </w:t>
      </w:r>
    </w:p>
    <w:p w:rsidR="00F95320" w:rsidRPr="00A5622F" w:rsidRDefault="00F95320" w:rsidP="00F95320">
      <w:pPr>
        <w:spacing w:after="0"/>
        <w:jc w:val="center"/>
        <w:rPr>
          <w:rFonts w:ascii="Times New Roman" w:hAnsi="Times New Roman" w:cs="Times New Roman"/>
          <w:b/>
          <w:sz w:val="28"/>
          <w:szCs w:val="28"/>
        </w:rPr>
      </w:pPr>
      <w:r w:rsidRPr="00A5622F">
        <w:rPr>
          <w:rFonts w:ascii="Times New Roman" w:hAnsi="Times New Roman" w:cs="Times New Roman"/>
          <w:b/>
          <w:sz w:val="28"/>
          <w:szCs w:val="28"/>
        </w:rPr>
        <w:t>на фондовому ринку та вимог до системи управління ризиками</w:t>
      </w:r>
    </w:p>
    <w:p w:rsidR="00F95320" w:rsidRPr="00A5622F" w:rsidRDefault="00F95320" w:rsidP="00F95320">
      <w:pPr>
        <w:spacing w:after="0"/>
        <w:jc w:val="center"/>
        <w:rPr>
          <w:rFonts w:ascii="Times New Roman" w:hAnsi="Times New Roman" w:cs="Times New Roman"/>
          <w:b/>
          <w:sz w:val="28"/>
          <w:szCs w:val="28"/>
        </w:rPr>
      </w:pP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7"/>
        <w:gridCol w:w="4945"/>
        <w:gridCol w:w="5405"/>
      </w:tblGrid>
      <w:tr w:rsidR="001A33D5" w:rsidRPr="00A5622F" w:rsidTr="00F45C1F">
        <w:trPr>
          <w:trHeight w:val="445"/>
        </w:trPr>
        <w:tc>
          <w:tcPr>
            <w:tcW w:w="5527" w:type="dxa"/>
          </w:tcPr>
          <w:p w:rsidR="001A33D5" w:rsidRPr="002F7285" w:rsidRDefault="001A33D5" w:rsidP="002F7285">
            <w:pPr>
              <w:spacing w:after="0"/>
              <w:jc w:val="center"/>
              <w:rPr>
                <w:rFonts w:ascii="Times New Roman" w:hAnsi="Times New Roman" w:cs="Times New Roman"/>
                <w:b/>
                <w:sz w:val="24"/>
                <w:szCs w:val="24"/>
                <w:lang w:val="en-US"/>
              </w:rPr>
            </w:pPr>
            <w:r w:rsidRPr="00A5622F">
              <w:rPr>
                <w:rFonts w:ascii="Times New Roman" w:hAnsi="Times New Roman" w:cs="Times New Roman"/>
                <w:b/>
                <w:sz w:val="24"/>
                <w:szCs w:val="24"/>
              </w:rPr>
              <w:t>Редакція зі змінами</w:t>
            </w:r>
            <w:r>
              <w:rPr>
                <w:rFonts w:ascii="Times New Roman" w:hAnsi="Times New Roman" w:cs="Times New Roman"/>
                <w:b/>
                <w:sz w:val="24"/>
                <w:szCs w:val="24"/>
              </w:rPr>
              <w:t xml:space="preserve"> </w:t>
            </w:r>
            <w:r w:rsidR="002F7285">
              <w:rPr>
                <w:rFonts w:ascii="Times New Roman" w:hAnsi="Times New Roman" w:cs="Times New Roman"/>
                <w:b/>
                <w:sz w:val="24"/>
                <w:szCs w:val="24"/>
              </w:rPr>
              <w:t>від 19</w:t>
            </w:r>
            <w:r>
              <w:rPr>
                <w:rFonts w:ascii="Times New Roman" w:hAnsi="Times New Roman" w:cs="Times New Roman"/>
                <w:b/>
                <w:sz w:val="24"/>
                <w:szCs w:val="24"/>
              </w:rPr>
              <w:t>.0</w:t>
            </w:r>
            <w:r w:rsidR="002F7285">
              <w:rPr>
                <w:rFonts w:ascii="Times New Roman" w:hAnsi="Times New Roman" w:cs="Times New Roman"/>
                <w:b/>
                <w:sz w:val="24"/>
                <w:szCs w:val="24"/>
                <w:lang w:val="en-US"/>
              </w:rPr>
              <w:t>8</w:t>
            </w:r>
            <w:r>
              <w:rPr>
                <w:rFonts w:ascii="Times New Roman" w:hAnsi="Times New Roman" w:cs="Times New Roman"/>
                <w:b/>
                <w:sz w:val="24"/>
                <w:szCs w:val="24"/>
              </w:rPr>
              <w:t>.2021</w:t>
            </w:r>
            <w:r w:rsidR="002F7285">
              <w:rPr>
                <w:rFonts w:ascii="Times New Roman" w:hAnsi="Times New Roman" w:cs="Times New Roman"/>
                <w:b/>
                <w:sz w:val="24"/>
                <w:szCs w:val="24"/>
                <w:lang w:val="en-US"/>
              </w:rPr>
              <w:t xml:space="preserve"> №667</w:t>
            </w:r>
          </w:p>
        </w:tc>
        <w:tc>
          <w:tcPr>
            <w:tcW w:w="4945" w:type="dxa"/>
          </w:tcPr>
          <w:p w:rsidR="001A33D5" w:rsidRPr="00A5622F" w:rsidRDefault="00F45C1F" w:rsidP="00F95320">
            <w:pPr>
              <w:spacing w:after="0"/>
              <w:jc w:val="center"/>
              <w:rPr>
                <w:rFonts w:ascii="Times New Roman" w:hAnsi="Times New Roman" w:cs="Times New Roman"/>
                <w:b/>
                <w:sz w:val="24"/>
                <w:szCs w:val="24"/>
              </w:rPr>
            </w:pPr>
            <w:r>
              <w:rPr>
                <w:rFonts w:ascii="Times New Roman" w:hAnsi="Times New Roman" w:cs="Times New Roman"/>
                <w:b/>
                <w:sz w:val="24"/>
                <w:szCs w:val="24"/>
              </w:rPr>
              <w:t>З</w:t>
            </w:r>
            <w:r w:rsidRPr="00C6231B">
              <w:rPr>
                <w:rFonts w:ascii="Times New Roman" w:hAnsi="Times New Roman" w:cs="Times New Roman"/>
                <w:b/>
                <w:sz w:val="24"/>
                <w:szCs w:val="24"/>
              </w:rPr>
              <w:t>ауваженняУАІБ</w:t>
            </w:r>
          </w:p>
        </w:tc>
        <w:tc>
          <w:tcPr>
            <w:tcW w:w="5405" w:type="dxa"/>
          </w:tcPr>
          <w:p w:rsidR="001A33D5" w:rsidRPr="00A5622F" w:rsidRDefault="00F45C1F" w:rsidP="00F95320">
            <w:pPr>
              <w:spacing w:after="0"/>
              <w:jc w:val="center"/>
              <w:rPr>
                <w:rFonts w:ascii="Times New Roman" w:hAnsi="Times New Roman" w:cs="Times New Roman"/>
                <w:b/>
                <w:sz w:val="24"/>
                <w:szCs w:val="24"/>
              </w:rPr>
            </w:pPr>
            <w:r w:rsidRPr="00A5622F">
              <w:rPr>
                <w:rFonts w:ascii="Times New Roman" w:hAnsi="Times New Roman" w:cs="Times New Roman"/>
                <w:b/>
                <w:sz w:val="24"/>
                <w:szCs w:val="24"/>
              </w:rPr>
              <w:t xml:space="preserve">Редакція </w:t>
            </w:r>
            <w:r w:rsidRPr="00C6231B">
              <w:rPr>
                <w:rFonts w:ascii="Times New Roman" w:hAnsi="Times New Roman" w:cs="Times New Roman"/>
                <w:b/>
                <w:sz w:val="24"/>
                <w:szCs w:val="24"/>
              </w:rPr>
              <w:t>УАІБ</w:t>
            </w:r>
            <w:r>
              <w:rPr>
                <w:rFonts w:ascii="Times New Roman" w:hAnsi="Times New Roman" w:cs="Times New Roman"/>
                <w:b/>
                <w:sz w:val="24"/>
                <w:szCs w:val="24"/>
              </w:rPr>
              <w:t xml:space="preserve"> зі змінами</w:t>
            </w:r>
          </w:p>
        </w:tc>
      </w:tr>
      <w:tr w:rsidR="001A33D5" w:rsidRPr="00A5622F" w:rsidTr="0018386F">
        <w:trPr>
          <w:trHeight w:val="1121"/>
        </w:trPr>
        <w:tc>
          <w:tcPr>
            <w:tcW w:w="5527" w:type="dxa"/>
          </w:tcPr>
          <w:p w:rsidR="001A33D5" w:rsidRPr="002A615E" w:rsidRDefault="001A33D5" w:rsidP="002A615E">
            <w:pPr>
              <w:shd w:val="clear" w:color="auto" w:fill="FFFFFF"/>
              <w:spacing w:before="120" w:after="0" w:line="240" w:lineRule="auto"/>
              <w:ind w:left="450" w:right="450"/>
              <w:jc w:val="center"/>
              <w:rPr>
                <w:rFonts w:ascii="Times New Roman" w:eastAsia="Times New Roman" w:hAnsi="Times New Roman" w:cs="Times New Roman"/>
                <w:sz w:val="24"/>
                <w:szCs w:val="24"/>
                <w:lang w:eastAsia="uk-UA"/>
              </w:rPr>
            </w:pPr>
            <w:r w:rsidRPr="00A5622F">
              <w:rPr>
                <w:rFonts w:ascii="Times New Roman" w:eastAsia="Times New Roman" w:hAnsi="Times New Roman" w:cs="Times New Roman"/>
                <w:b/>
                <w:bCs/>
                <w:sz w:val="24"/>
                <w:szCs w:val="24"/>
                <w:lang w:eastAsia="uk-UA"/>
              </w:rPr>
              <w:t>ПОЛОЖЕННЯ</w:t>
            </w:r>
            <w:r w:rsidRPr="00A5622F">
              <w:rPr>
                <w:rFonts w:ascii="Times New Roman" w:eastAsia="Times New Roman" w:hAnsi="Times New Roman" w:cs="Times New Roman"/>
                <w:sz w:val="24"/>
                <w:szCs w:val="24"/>
                <w:lang w:eastAsia="uk-UA"/>
              </w:rPr>
              <w:br/>
            </w:r>
            <w:r w:rsidRPr="00A5622F">
              <w:rPr>
                <w:rFonts w:ascii="Times New Roman" w:eastAsia="Times New Roman" w:hAnsi="Times New Roman" w:cs="Times New Roman"/>
                <w:b/>
                <w:bCs/>
                <w:sz w:val="24"/>
                <w:szCs w:val="24"/>
                <w:lang w:eastAsia="uk-UA"/>
              </w:rPr>
              <w:t xml:space="preserve">щодо пруденційних нормативів професійної діяльності на </w:t>
            </w:r>
            <w:r w:rsidRPr="009055B2">
              <w:rPr>
                <w:rFonts w:ascii="Times New Roman" w:eastAsia="Times New Roman" w:hAnsi="Times New Roman" w:cs="Times New Roman"/>
                <w:b/>
                <w:bCs/>
                <w:sz w:val="24"/>
                <w:szCs w:val="24"/>
                <w:lang w:eastAsia="uk-UA"/>
              </w:rPr>
              <w:t>ринках капіталу та організованих товарних ринках</w:t>
            </w:r>
          </w:p>
          <w:p w:rsidR="001A33D5" w:rsidRPr="00A5622F" w:rsidRDefault="001A33D5" w:rsidP="00645A27">
            <w:pPr>
              <w:shd w:val="clear" w:color="auto" w:fill="FFFFFF"/>
              <w:spacing w:after="0" w:line="240" w:lineRule="auto"/>
              <w:ind w:firstLine="450"/>
              <w:jc w:val="both"/>
              <w:rPr>
                <w:sz w:val="24"/>
                <w:szCs w:val="24"/>
              </w:rPr>
            </w:pPr>
          </w:p>
        </w:tc>
        <w:tc>
          <w:tcPr>
            <w:tcW w:w="4945" w:type="dxa"/>
          </w:tcPr>
          <w:p w:rsidR="001A33D5" w:rsidRPr="00A5622F" w:rsidRDefault="001A33D5" w:rsidP="002C77DA">
            <w:pPr>
              <w:shd w:val="clear" w:color="auto" w:fill="FFFFFF"/>
              <w:spacing w:before="120" w:after="0" w:line="240" w:lineRule="auto"/>
              <w:ind w:left="450" w:right="450"/>
              <w:jc w:val="center"/>
              <w:rPr>
                <w:rFonts w:ascii="Times New Roman" w:eastAsia="Times New Roman" w:hAnsi="Times New Roman" w:cs="Times New Roman"/>
                <w:b/>
                <w:bCs/>
                <w:sz w:val="24"/>
                <w:szCs w:val="24"/>
                <w:lang w:eastAsia="uk-UA"/>
              </w:rPr>
            </w:pPr>
          </w:p>
        </w:tc>
        <w:tc>
          <w:tcPr>
            <w:tcW w:w="5405" w:type="dxa"/>
          </w:tcPr>
          <w:p w:rsidR="001A33D5" w:rsidRPr="00A5622F" w:rsidRDefault="001A33D5" w:rsidP="001A33D5">
            <w:pPr>
              <w:shd w:val="clear" w:color="auto" w:fill="FFFFFF"/>
              <w:spacing w:before="120" w:after="0" w:line="240" w:lineRule="auto"/>
              <w:ind w:right="-108" w:firstLine="477"/>
              <w:jc w:val="center"/>
              <w:rPr>
                <w:rFonts w:ascii="Times New Roman" w:eastAsia="Times New Roman" w:hAnsi="Times New Roman" w:cs="Times New Roman"/>
                <w:b/>
                <w:bCs/>
                <w:sz w:val="24"/>
                <w:szCs w:val="24"/>
                <w:lang w:eastAsia="uk-UA"/>
              </w:rPr>
            </w:pPr>
          </w:p>
        </w:tc>
      </w:tr>
      <w:tr w:rsidR="004E14C0" w:rsidRPr="00A5622F" w:rsidTr="0018386F">
        <w:trPr>
          <w:trHeight w:val="1121"/>
        </w:trPr>
        <w:tc>
          <w:tcPr>
            <w:tcW w:w="5527" w:type="dxa"/>
          </w:tcPr>
          <w:p w:rsidR="004E14C0" w:rsidRDefault="0085461E" w:rsidP="0085461E">
            <w:pPr>
              <w:shd w:val="clear" w:color="auto" w:fill="FFFFFF"/>
              <w:spacing w:before="150" w:after="0" w:line="240" w:lineRule="auto"/>
              <w:ind w:left="450" w:right="450"/>
              <w:jc w:val="center"/>
              <w:rPr>
                <w:rFonts w:ascii="Times New Roman" w:eastAsia="Times New Roman" w:hAnsi="Times New Roman" w:cs="Times New Roman"/>
                <w:sz w:val="24"/>
                <w:szCs w:val="24"/>
                <w:lang w:eastAsia="uk-UA"/>
              </w:rPr>
            </w:pPr>
            <w:r w:rsidRPr="009055B2">
              <w:rPr>
                <w:rFonts w:ascii="Times New Roman" w:eastAsia="Times New Roman" w:hAnsi="Times New Roman" w:cs="Times New Roman"/>
                <w:b/>
                <w:bCs/>
                <w:sz w:val="24"/>
                <w:szCs w:val="24"/>
                <w:lang w:eastAsia="uk-UA"/>
              </w:rPr>
              <w:t>II</w:t>
            </w:r>
            <w:r w:rsidRPr="00A5622F">
              <w:rPr>
                <w:rFonts w:ascii="Times New Roman" w:eastAsia="Times New Roman" w:hAnsi="Times New Roman" w:cs="Times New Roman"/>
                <w:b/>
                <w:bCs/>
                <w:sz w:val="24"/>
                <w:szCs w:val="24"/>
                <w:lang w:eastAsia="uk-UA"/>
              </w:rPr>
              <w:t xml:space="preserve">. Пруденційні нормативи, що використовуються для вимірювання та оцінки ризиків діяльності з торгівлі </w:t>
            </w:r>
            <w:r w:rsidRPr="009055B2">
              <w:rPr>
                <w:rFonts w:ascii="Times New Roman" w:eastAsia="Times New Roman" w:hAnsi="Times New Roman" w:cs="Times New Roman"/>
                <w:b/>
                <w:bCs/>
                <w:sz w:val="24"/>
                <w:szCs w:val="24"/>
                <w:lang w:eastAsia="uk-UA"/>
              </w:rPr>
              <w:t>фінансовими інструментами</w:t>
            </w:r>
            <w:r w:rsidRPr="00A5622F">
              <w:rPr>
                <w:rFonts w:ascii="Times New Roman" w:eastAsia="Times New Roman" w:hAnsi="Times New Roman" w:cs="Times New Roman"/>
                <w:b/>
                <w:bCs/>
                <w:sz w:val="24"/>
                <w:szCs w:val="24"/>
                <w:lang w:eastAsia="uk-UA"/>
              </w:rPr>
              <w:t>, їх розрахунок та нормативні значення</w:t>
            </w:r>
          </w:p>
          <w:p w:rsidR="0085461E" w:rsidRPr="0085461E" w:rsidRDefault="0085461E" w:rsidP="0085461E">
            <w:pPr>
              <w:shd w:val="clear" w:color="auto" w:fill="FFFFFF"/>
              <w:spacing w:before="150" w:after="0" w:line="240" w:lineRule="auto"/>
              <w:ind w:left="450" w:right="450"/>
              <w:jc w:val="center"/>
              <w:rPr>
                <w:rFonts w:ascii="Times New Roman" w:eastAsia="Times New Roman" w:hAnsi="Times New Roman" w:cs="Times New Roman"/>
                <w:sz w:val="24"/>
                <w:szCs w:val="24"/>
                <w:lang w:eastAsia="uk-UA"/>
              </w:rPr>
            </w:pPr>
          </w:p>
        </w:tc>
        <w:tc>
          <w:tcPr>
            <w:tcW w:w="4945" w:type="dxa"/>
          </w:tcPr>
          <w:p w:rsidR="004E14C0" w:rsidRPr="00A5622F" w:rsidRDefault="004E14C0" w:rsidP="002C77DA">
            <w:pPr>
              <w:shd w:val="clear" w:color="auto" w:fill="FFFFFF"/>
              <w:spacing w:before="120" w:after="0" w:line="240" w:lineRule="auto"/>
              <w:ind w:left="450" w:right="450"/>
              <w:jc w:val="center"/>
              <w:rPr>
                <w:rFonts w:ascii="Times New Roman" w:eastAsia="Times New Roman" w:hAnsi="Times New Roman" w:cs="Times New Roman"/>
                <w:b/>
                <w:bCs/>
                <w:sz w:val="24"/>
                <w:szCs w:val="24"/>
                <w:lang w:eastAsia="uk-UA"/>
              </w:rPr>
            </w:pPr>
          </w:p>
        </w:tc>
        <w:tc>
          <w:tcPr>
            <w:tcW w:w="5405" w:type="dxa"/>
          </w:tcPr>
          <w:p w:rsidR="004E14C0" w:rsidRPr="00A5622F" w:rsidRDefault="004E14C0" w:rsidP="001A33D5">
            <w:pPr>
              <w:shd w:val="clear" w:color="auto" w:fill="FFFFFF"/>
              <w:spacing w:before="120" w:after="0" w:line="240" w:lineRule="auto"/>
              <w:ind w:right="-108" w:firstLine="477"/>
              <w:jc w:val="center"/>
              <w:rPr>
                <w:rFonts w:ascii="Times New Roman" w:eastAsia="Times New Roman" w:hAnsi="Times New Roman" w:cs="Times New Roman"/>
                <w:b/>
                <w:bCs/>
                <w:sz w:val="24"/>
                <w:szCs w:val="24"/>
                <w:lang w:eastAsia="uk-UA"/>
              </w:rPr>
            </w:pPr>
          </w:p>
        </w:tc>
      </w:tr>
      <w:tr w:rsidR="001A33D5" w:rsidRPr="00EB1DD8" w:rsidTr="0018386F">
        <w:trPr>
          <w:trHeight w:val="554"/>
        </w:trPr>
        <w:tc>
          <w:tcPr>
            <w:tcW w:w="5527" w:type="dxa"/>
          </w:tcPr>
          <w:p w:rsidR="001A33D5" w:rsidRPr="00EB1DD8" w:rsidRDefault="001A33D5"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7. Норматив концентрації кредитного ризику</w:t>
            </w:r>
          </w:p>
          <w:p w:rsidR="001A33D5" w:rsidRPr="00EB1DD8" w:rsidRDefault="001A33D5" w:rsidP="008A3A33">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1. Норматив концентрації кредитного ризику встановлює обмеження кредитного ризику установи, що може виникнути внаслідок невиконання своїх зобов’язань окремим її контрагентом.</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2. Для розрахунку нормативу концентрації кредитного ризику контрагентом установи вважається будь-яка особа, </w:t>
            </w:r>
            <w:r w:rsidRPr="00EB1DD8">
              <w:rPr>
                <w:rFonts w:ascii="Times New Roman" w:eastAsia="Times New Roman" w:hAnsi="Times New Roman" w:cs="Times New Roman"/>
                <w:b/>
                <w:sz w:val="24"/>
                <w:szCs w:val="24"/>
                <w:lang w:val="ru-RU" w:eastAsia="uk-UA"/>
              </w:rPr>
              <w:t>яка має зобов</w:t>
            </w:r>
            <w:r w:rsidRPr="00EB1DD8">
              <w:rPr>
                <w:rFonts w:ascii="Times New Roman" w:eastAsia="Times New Roman" w:hAnsi="Times New Roman" w:cs="Times New Roman"/>
                <w:b/>
                <w:sz w:val="24"/>
                <w:szCs w:val="24"/>
                <w:lang w:eastAsia="uk-UA"/>
              </w:rPr>
              <w:t>’</w:t>
            </w:r>
            <w:r w:rsidRPr="00EB1DD8">
              <w:rPr>
                <w:rFonts w:ascii="Times New Roman" w:eastAsia="Times New Roman" w:hAnsi="Times New Roman" w:cs="Times New Roman"/>
                <w:b/>
                <w:sz w:val="24"/>
                <w:szCs w:val="24"/>
                <w:lang w:val="ru-RU" w:eastAsia="uk-UA"/>
              </w:rPr>
              <w:t>язання перед установою за позиціями в активах</w:t>
            </w:r>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установи, визначени</w:t>
            </w:r>
            <w:r w:rsidRPr="00EB1DD8">
              <w:rPr>
                <w:rFonts w:ascii="Times New Roman" w:eastAsia="Times New Roman" w:hAnsi="Times New Roman" w:cs="Times New Roman"/>
                <w:sz w:val="24"/>
                <w:szCs w:val="24"/>
                <w:lang w:val="ru-RU" w:eastAsia="uk-UA"/>
              </w:rPr>
              <w:t>х</w:t>
            </w:r>
            <w:r w:rsidRPr="00EB1DD8">
              <w:rPr>
                <w:rFonts w:ascii="Times New Roman" w:eastAsia="Times New Roman" w:hAnsi="Times New Roman" w:cs="Times New Roman"/>
                <w:sz w:val="24"/>
                <w:szCs w:val="24"/>
                <w:lang w:eastAsia="uk-UA"/>
              </w:rPr>
              <w:t> </w:t>
            </w:r>
            <w:hyperlink r:id="rId8" w:anchor="n557" w:history="1">
              <w:r w:rsidRPr="00EB1DD8">
                <w:rPr>
                  <w:rFonts w:ascii="Times New Roman" w:eastAsia="Times New Roman" w:hAnsi="Times New Roman" w:cs="Times New Roman"/>
                  <w:sz w:val="24"/>
                  <w:szCs w:val="24"/>
                  <w:lang w:eastAsia="uk-UA"/>
                </w:rPr>
                <w:t>пунктом 5</w:t>
              </w:r>
            </w:hyperlink>
            <w:r w:rsidRPr="00EB1DD8">
              <w:rPr>
                <w:rFonts w:ascii="Times New Roman" w:eastAsia="Times New Roman" w:hAnsi="Times New Roman" w:cs="Times New Roman"/>
                <w:sz w:val="24"/>
                <w:szCs w:val="24"/>
                <w:lang w:eastAsia="uk-UA"/>
              </w:rPr>
              <w:t> цієї глави.</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lastRenderedPageBreak/>
              <w:t xml:space="preserve">3. Норматив концентрації кредитного ризику визначається окремо щодо кожного контрагента </w:t>
            </w:r>
            <w:bookmarkStart w:id="0" w:name="_GoBack"/>
            <w:bookmarkEnd w:id="0"/>
            <w:r w:rsidRPr="00EB1DD8">
              <w:rPr>
                <w:rFonts w:ascii="Times New Roman" w:eastAsia="Times New Roman" w:hAnsi="Times New Roman" w:cs="Times New Roman"/>
                <w:sz w:val="24"/>
                <w:szCs w:val="24"/>
                <w:lang w:eastAsia="uk-UA"/>
              </w:rPr>
              <w:t xml:space="preserve">установи як відношення суми всіх її активів, </w:t>
            </w:r>
            <w:r w:rsidRPr="00EB1DD8">
              <w:rPr>
                <w:rFonts w:ascii="Times New Roman" w:hAnsi="Times New Roman" w:cs="Times New Roman"/>
                <w:b/>
                <w:sz w:val="24"/>
                <w:szCs w:val="24"/>
              </w:rPr>
              <w:t xml:space="preserve">за якими </w:t>
            </w:r>
            <w:r w:rsidRPr="00EB1DD8">
              <w:rPr>
                <w:rFonts w:ascii="Times New Roman" w:hAnsi="Times New Roman" w:cs="Times New Roman"/>
                <w:b/>
                <w:sz w:val="24"/>
                <w:szCs w:val="24"/>
                <w:lang w:val="ru-RU"/>
              </w:rPr>
              <w:t xml:space="preserve">такий </w:t>
            </w:r>
            <w:r w:rsidRPr="00EB1DD8">
              <w:rPr>
                <w:rFonts w:ascii="Times New Roman" w:hAnsi="Times New Roman" w:cs="Times New Roman"/>
                <w:b/>
                <w:sz w:val="24"/>
                <w:szCs w:val="24"/>
              </w:rPr>
              <w:t>контрагент має зобов</w:t>
            </w:r>
            <w:r w:rsidRPr="00EB1DD8">
              <w:rPr>
                <w:rFonts w:ascii="Times New Roman" w:hAnsi="Times New Roman" w:cs="Times New Roman"/>
                <w:b/>
                <w:sz w:val="24"/>
                <w:szCs w:val="24"/>
                <w:lang w:val="ru-RU"/>
              </w:rPr>
              <w:t>'</w:t>
            </w:r>
            <w:r w:rsidRPr="00EB1DD8">
              <w:rPr>
                <w:rFonts w:ascii="Times New Roman" w:hAnsi="Times New Roman" w:cs="Times New Roman"/>
                <w:b/>
                <w:sz w:val="24"/>
                <w:szCs w:val="24"/>
              </w:rPr>
              <w:t>язання</w:t>
            </w:r>
            <w:r w:rsidRPr="00EB1DD8">
              <w:rPr>
                <w:rFonts w:ascii="Times New Roman" w:hAnsi="Times New Roman" w:cs="Times New Roman"/>
                <w:b/>
                <w:sz w:val="24"/>
                <w:szCs w:val="24"/>
                <w:lang w:val="ru-RU"/>
              </w:rPr>
              <w:t xml:space="preserve"> перед установою</w:t>
            </w:r>
            <w:r w:rsidRPr="00EB1DD8">
              <w:rPr>
                <w:rFonts w:ascii="Times New Roman" w:eastAsia="Times New Roman" w:hAnsi="Times New Roman" w:cs="Times New Roman"/>
                <w:sz w:val="24"/>
                <w:szCs w:val="24"/>
                <w:lang w:eastAsia="uk-UA"/>
              </w:rPr>
              <w:t>, до розміру її регулятивного капіталу.</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4. Норматив концентрації кредитного ризику розраховується за формулою</w:t>
            </w:r>
          </w:p>
          <w:p w:rsidR="001A33D5" w:rsidRPr="00EB1DD8" w:rsidRDefault="001A33D5" w:rsidP="008A3A33">
            <w:pPr>
              <w:shd w:val="clear" w:color="auto" w:fill="FFFFFF"/>
              <w:spacing w:after="150" w:line="240" w:lineRule="auto"/>
              <w:ind w:firstLine="450"/>
              <w:jc w:val="center"/>
              <w:rPr>
                <w:b/>
              </w:rPr>
            </w:pPr>
            <w:r w:rsidRPr="00EB1DD8">
              <w:rPr>
                <w:b/>
                <w:position w:val="-42"/>
              </w:rPr>
              <w:object w:dxaOrig="362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5pt;height:41.3pt" o:ole="">
                  <v:imagedata r:id="rId9" o:title=""/>
                </v:shape>
                <o:OLEObject Type="Embed" ProgID="Equation.3" ShapeID="_x0000_i1025" DrawAspect="Content" ObjectID="_1700487661" r:id="rId10"/>
              </w:object>
            </w:r>
          </w:p>
          <w:p w:rsidR="001A33D5" w:rsidRPr="00EB1DD8" w:rsidRDefault="001A33D5" w:rsidP="00E73240">
            <w:pPr>
              <w:shd w:val="clear" w:color="auto" w:fill="FFFFFF"/>
              <w:tabs>
                <w:tab w:val="left" w:pos="5341"/>
              </w:tabs>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де</w:t>
            </w:r>
            <w:r w:rsidRPr="00EB1DD8">
              <w:rPr>
                <w:rFonts w:ascii="Times New Roman" w:eastAsia="Times New Roman" w:hAnsi="Times New Roman" w:cs="Times New Roman"/>
                <w:sz w:val="24"/>
                <w:szCs w:val="24"/>
                <w:lang w:eastAsia="uk-UA"/>
              </w:rPr>
              <w:tab/>
            </w:r>
          </w:p>
          <w:tbl>
            <w:tblPr>
              <w:tblW w:w="5000" w:type="pct"/>
              <w:tblCellMar>
                <w:left w:w="0" w:type="dxa"/>
                <w:right w:w="0" w:type="dxa"/>
              </w:tblCellMar>
              <w:tblLook w:val="04A0" w:firstRow="1" w:lastRow="0" w:firstColumn="1" w:lastColumn="0" w:noHBand="0" w:noVBand="1"/>
            </w:tblPr>
            <w:tblGrid>
              <w:gridCol w:w="212"/>
              <w:gridCol w:w="396"/>
              <w:gridCol w:w="155"/>
              <w:gridCol w:w="4542"/>
            </w:tblGrid>
            <w:tr w:rsidR="001A33D5" w:rsidRPr="00EB1DD8" w:rsidTr="00AC390D">
              <w:tc>
                <w:tcPr>
                  <w:tcW w:w="540" w:type="dxa"/>
                  <w:tcBorders>
                    <w:top w:val="single" w:sz="2" w:space="0" w:color="auto"/>
                    <w:left w:val="single" w:sz="2" w:space="0" w:color="auto"/>
                    <w:bottom w:val="single" w:sz="2" w:space="0" w:color="auto"/>
                    <w:right w:val="single" w:sz="2" w:space="0" w:color="auto"/>
                  </w:tcBorders>
                  <w:hideMark/>
                </w:tcPr>
                <w:p w:rsidR="001A33D5" w:rsidRPr="00EB1DD8" w:rsidRDefault="001A33D5" w:rsidP="008A3A33">
                  <w:pPr>
                    <w:spacing w:before="150" w:after="150" w:line="240" w:lineRule="auto"/>
                    <w:rPr>
                      <w:rFonts w:ascii="Times New Roman" w:eastAsia="Times New Roman" w:hAnsi="Times New Roman" w:cs="Times New Roman"/>
                      <w:sz w:val="24"/>
                      <w:szCs w:val="24"/>
                      <w:lang w:eastAsia="uk-UA"/>
                    </w:rPr>
                  </w:pPr>
                </w:p>
              </w:tc>
              <w:tc>
                <w:tcPr>
                  <w:tcW w:w="660" w:type="dxa"/>
                  <w:tcBorders>
                    <w:top w:val="single" w:sz="2" w:space="0" w:color="auto"/>
                    <w:left w:val="single" w:sz="2" w:space="0" w:color="auto"/>
                    <w:bottom w:val="single" w:sz="2" w:space="0" w:color="auto"/>
                    <w:right w:val="single" w:sz="2" w:space="0" w:color="auto"/>
                  </w:tcBorders>
                  <w:hideMark/>
                </w:tcPr>
                <w:p w:rsidR="001A33D5" w:rsidRPr="00EB1DD8" w:rsidRDefault="001A33D5" w:rsidP="008A3A33">
                  <w:pPr>
                    <w:spacing w:before="150" w:after="150" w:line="240" w:lineRule="auto"/>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А</w:t>
                  </w:r>
                  <w:r w:rsidRPr="00EB1DD8">
                    <w:rPr>
                      <w:rFonts w:ascii="Times New Roman" w:eastAsia="Times New Roman" w:hAnsi="Times New Roman" w:cs="Times New Roman"/>
                      <w:b/>
                      <w:bCs/>
                      <w:sz w:val="16"/>
                      <w:szCs w:val="16"/>
                      <w:vertAlign w:val="subscript"/>
                      <w:lang w:eastAsia="uk-UA"/>
                    </w:rPr>
                    <w:t>k</w:t>
                  </w:r>
                </w:p>
              </w:tc>
              <w:tc>
                <w:tcPr>
                  <w:tcW w:w="270" w:type="dxa"/>
                  <w:tcBorders>
                    <w:top w:val="single" w:sz="2" w:space="0" w:color="auto"/>
                    <w:left w:val="single" w:sz="2" w:space="0" w:color="auto"/>
                    <w:bottom w:val="single" w:sz="2" w:space="0" w:color="auto"/>
                    <w:right w:val="single" w:sz="2" w:space="0" w:color="auto"/>
                  </w:tcBorders>
                  <w:hideMark/>
                </w:tcPr>
                <w:p w:rsidR="001A33D5" w:rsidRPr="00EB1DD8" w:rsidRDefault="001A33D5" w:rsidP="008A3A33">
                  <w:pPr>
                    <w:spacing w:before="150" w:after="150" w:line="240" w:lineRule="auto"/>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w:t>
                  </w:r>
                </w:p>
              </w:tc>
              <w:tc>
                <w:tcPr>
                  <w:tcW w:w="9645" w:type="dxa"/>
                  <w:tcBorders>
                    <w:top w:val="single" w:sz="2" w:space="0" w:color="auto"/>
                    <w:left w:val="single" w:sz="2" w:space="0" w:color="auto"/>
                    <w:bottom w:val="single" w:sz="2" w:space="0" w:color="auto"/>
                    <w:right w:val="single" w:sz="2" w:space="0" w:color="auto"/>
                  </w:tcBorders>
                  <w:hideMark/>
                </w:tcPr>
                <w:p w:rsidR="001A33D5" w:rsidRPr="00EB1DD8" w:rsidRDefault="001A33D5" w:rsidP="00332A05">
                  <w:pPr>
                    <w:spacing w:before="150" w:after="150" w:line="240" w:lineRule="auto"/>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сума всіх активів установи, </w:t>
                  </w:r>
                  <w:r w:rsidRPr="00EB1DD8">
                    <w:rPr>
                      <w:rFonts w:ascii="Times New Roman" w:eastAsia="Times New Roman" w:hAnsi="Times New Roman" w:cs="Times New Roman"/>
                      <w:b/>
                      <w:sz w:val="24"/>
                      <w:szCs w:val="24"/>
                      <w:lang w:val="ru-RU" w:eastAsia="uk-UA"/>
                    </w:rPr>
                    <w:t>за якими</w:t>
                  </w:r>
                  <w:r w:rsidRPr="00EB1DD8">
                    <w:rPr>
                      <w:rFonts w:ascii="Times New Roman" w:eastAsia="Times New Roman" w:hAnsi="Times New Roman" w:cs="Times New Roman"/>
                      <w:b/>
                      <w:sz w:val="24"/>
                      <w:szCs w:val="24"/>
                      <w:lang w:eastAsia="uk-UA"/>
                    </w:rPr>
                    <w:t xml:space="preserve"> k-</w:t>
                  </w:r>
                  <w:r w:rsidRPr="00EB1DD8">
                    <w:rPr>
                      <w:rFonts w:ascii="Times New Roman" w:eastAsia="Times New Roman" w:hAnsi="Times New Roman" w:cs="Times New Roman"/>
                      <w:b/>
                      <w:sz w:val="24"/>
                      <w:szCs w:val="24"/>
                      <w:lang w:val="ru-RU" w:eastAsia="uk-UA"/>
                    </w:rPr>
                    <w:t>ий</w:t>
                  </w:r>
                  <w:r w:rsidRPr="00EB1DD8">
                    <w:rPr>
                      <w:rFonts w:ascii="Times New Roman" w:eastAsia="Times New Roman" w:hAnsi="Times New Roman" w:cs="Times New Roman"/>
                      <w:b/>
                      <w:sz w:val="24"/>
                      <w:szCs w:val="24"/>
                      <w:lang w:eastAsia="uk-UA"/>
                    </w:rPr>
                    <w:t xml:space="preserve"> контрагент</w:t>
                  </w:r>
                  <w:r w:rsidRPr="00EB1DD8">
                    <w:rPr>
                      <w:rFonts w:ascii="Times New Roman" w:eastAsia="Times New Roman" w:hAnsi="Times New Roman" w:cs="Times New Roman"/>
                      <w:b/>
                      <w:sz w:val="24"/>
                      <w:szCs w:val="24"/>
                      <w:lang w:val="ru-RU" w:eastAsia="uk-UA"/>
                    </w:rPr>
                    <w:t xml:space="preserve"> </w:t>
                  </w:r>
                  <w:r w:rsidRPr="00EB1DD8">
                    <w:rPr>
                      <w:rFonts w:ascii="Times New Roman" w:hAnsi="Times New Roman" w:cs="Times New Roman"/>
                      <w:b/>
                      <w:sz w:val="24"/>
                      <w:szCs w:val="24"/>
                    </w:rPr>
                    <w:t>має зобов</w:t>
                  </w:r>
                  <w:r w:rsidRPr="00EB1DD8">
                    <w:rPr>
                      <w:rFonts w:ascii="Times New Roman" w:hAnsi="Times New Roman" w:cs="Times New Roman"/>
                      <w:b/>
                      <w:sz w:val="24"/>
                      <w:szCs w:val="24"/>
                      <w:lang w:val="ru-RU"/>
                    </w:rPr>
                    <w:t>'</w:t>
                  </w:r>
                  <w:r w:rsidRPr="00EB1DD8">
                    <w:rPr>
                      <w:rFonts w:ascii="Times New Roman" w:hAnsi="Times New Roman" w:cs="Times New Roman"/>
                      <w:b/>
                      <w:sz w:val="24"/>
                      <w:szCs w:val="24"/>
                    </w:rPr>
                    <w:t>язання</w:t>
                  </w:r>
                  <w:r w:rsidRPr="00EB1DD8">
                    <w:rPr>
                      <w:rFonts w:ascii="Times New Roman" w:hAnsi="Times New Roman" w:cs="Times New Roman"/>
                      <w:b/>
                      <w:sz w:val="24"/>
                      <w:szCs w:val="24"/>
                      <w:lang w:val="ru-RU"/>
                    </w:rPr>
                    <w:t xml:space="preserve"> перед установою</w:t>
                  </w:r>
                  <w:r w:rsidRPr="00EB1DD8">
                    <w:rPr>
                      <w:rFonts w:ascii="Times New Roman" w:eastAsia="Times New Roman" w:hAnsi="Times New Roman" w:cs="Times New Roman"/>
                      <w:sz w:val="24"/>
                      <w:szCs w:val="24"/>
                      <w:lang w:eastAsia="uk-UA"/>
                    </w:rPr>
                    <w:t>.</w:t>
                  </w:r>
                </w:p>
              </w:tc>
            </w:tr>
          </w:tbl>
          <w:p w:rsidR="001A33D5" w:rsidRPr="00EB1DD8" w:rsidRDefault="001A33D5" w:rsidP="008A3A33">
            <w:pPr>
              <w:shd w:val="clear" w:color="auto" w:fill="FFFFFF"/>
              <w:spacing w:before="120"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5. До активів, </w:t>
            </w:r>
            <w:r w:rsidRPr="00EB1DD8">
              <w:rPr>
                <w:rFonts w:ascii="Times New Roman" w:hAnsi="Times New Roman" w:cs="Times New Roman"/>
                <w:b/>
                <w:sz w:val="24"/>
                <w:szCs w:val="24"/>
              </w:rPr>
              <w:t>за якими контрагент має зобов</w:t>
            </w:r>
            <w:r w:rsidRPr="00EB1DD8">
              <w:rPr>
                <w:rFonts w:ascii="Times New Roman" w:hAnsi="Times New Roman" w:cs="Times New Roman"/>
                <w:b/>
                <w:sz w:val="24"/>
                <w:szCs w:val="24"/>
                <w:lang w:val="ru-RU"/>
              </w:rPr>
              <w:t>'</w:t>
            </w:r>
            <w:r w:rsidRPr="00EB1DD8">
              <w:rPr>
                <w:rFonts w:ascii="Times New Roman" w:hAnsi="Times New Roman" w:cs="Times New Roman"/>
                <w:b/>
                <w:sz w:val="24"/>
                <w:szCs w:val="24"/>
              </w:rPr>
              <w:t>язання</w:t>
            </w:r>
            <w:r w:rsidRPr="00EB1DD8">
              <w:rPr>
                <w:rFonts w:ascii="Times New Roman" w:hAnsi="Times New Roman" w:cs="Times New Roman"/>
                <w:b/>
                <w:sz w:val="24"/>
                <w:szCs w:val="24"/>
                <w:lang w:val="ru-RU"/>
              </w:rPr>
              <w:t xml:space="preserve"> перед установою</w:t>
            </w:r>
            <w:r w:rsidRPr="00EB1DD8">
              <w:rPr>
                <w:rFonts w:ascii="Times New Roman" w:eastAsia="Times New Roman" w:hAnsi="Times New Roman" w:cs="Times New Roman"/>
                <w:sz w:val="24"/>
                <w:szCs w:val="24"/>
                <w:lang w:eastAsia="uk-UA"/>
              </w:rPr>
              <w:t>, належать:</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частки у статутному капіталі </w:t>
            </w:r>
            <w:r w:rsidRPr="00EB1DD8">
              <w:rPr>
                <w:rFonts w:ascii="Times New Roman" w:eastAsia="Times New Roman" w:hAnsi="Times New Roman" w:cs="Times New Roman"/>
                <w:b/>
                <w:sz w:val="24"/>
                <w:szCs w:val="24"/>
                <w:lang w:eastAsia="uk-UA"/>
              </w:rPr>
              <w:t>контрагента</w:t>
            </w:r>
            <w:r w:rsidRPr="00EB1DD8">
              <w:rPr>
                <w:rFonts w:ascii="Times New Roman" w:eastAsia="Times New Roman" w:hAnsi="Times New Roman" w:cs="Times New Roman"/>
                <w:sz w:val="24"/>
                <w:szCs w:val="24"/>
                <w:lang w:eastAsia="uk-UA"/>
              </w:rPr>
              <w:t>;</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емсійні/неемісійні цінні папери, випущені/видані контрагентом,</w:t>
            </w:r>
            <w:r w:rsidRPr="00EB1DD8">
              <w:rPr>
                <w:rFonts w:ascii="Times New Roman" w:eastAsia="Times New Roman" w:hAnsi="Times New Roman" w:cs="Times New Roman"/>
                <w:sz w:val="24"/>
                <w:szCs w:val="24"/>
                <w:lang w:eastAsia="uk-UA"/>
              </w:rPr>
              <w:t xml:space="preserve"> та доходи, нараховані за ними, крім державних цінних паперів, цінних паперів, гарантованих державою, та доходів, нарахованих за ними (в тому числі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lastRenderedPageBreak/>
              <w:t>заборгованість контргента перед установою, у тому числі</w:t>
            </w:r>
            <w:r w:rsidRPr="00EB1DD8">
              <w:rPr>
                <w:rFonts w:ascii="Times New Roman" w:eastAsia="Times New Roman" w:hAnsi="Times New Roman" w:cs="Times New Roman"/>
                <w:sz w:val="24"/>
                <w:szCs w:val="24"/>
                <w:lang w:eastAsia="uk-UA"/>
              </w:rPr>
              <w:t xml:space="preserve"> дебіторська заборгованість;</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грошові кошти </w:t>
            </w:r>
            <w:r w:rsidRPr="00EB1DD8">
              <w:rPr>
                <w:rFonts w:ascii="Times New Roman" w:eastAsia="Times New Roman" w:hAnsi="Times New Roman" w:cs="Times New Roman"/>
                <w:b/>
                <w:sz w:val="24"/>
                <w:szCs w:val="24"/>
                <w:lang w:eastAsia="uk-UA"/>
              </w:rPr>
              <w:t>установи</w:t>
            </w:r>
            <w:r w:rsidRPr="00EB1DD8">
              <w:rPr>
                <w:rFonts w:ascii="Times New Roman" w:eastAsia="Times New Roman" w:hAnsi="Times New Roman" w:cs="Times New Roman"/>
                <w:sz w:val="24"/>
                <w:szCs w:val="24"/>
                <w:lang w:eastAsia="uk-UA"/>
              </w:rPr>
              <w:t xml:space="preserve"> на поточних рахунках та депозити </w:t>
            </w:r>
            <w:r w:rsidRPr="00EB1DD8">
              <w:rPr>
                <w:rFonts w:ascii="Times New Roman" w:eastAsia="Times New Roman" w:hAnsi="Times New Roman" w:cs="Times New Roman"/>
                <w:b/>
                <w:sz w:val="24"/>
                <w:szCs w:val="24"/>
                <w:lang w:eastAsia="uk-UA"/>
              </w:rPr>
              <w:t>установи</w:t>
            </w:r>
            <w:r w:rsidRPr="00EB1DD8">
              <w:rPr>
                <w:rFonts w:ascii="Times New Roman" w:eastAsia="Times New Roman" w:hAnsi="Times New Roman" w:cs="Times New Roman"/>
                <w:sz w:val="24"/>
                <w:szCs w:val="24"/>
                <w:lang w:eastAsia="uk-UA"/>
              </w:rPr>
              <w:t xml:space="preserve"> в банках, а також доходи, нараховані за ними.</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6. Установа розраховує значення нормативу концентрації кредитного ризику щодо кожного контрагента (крім особи, </w:t>
            </w:r>
            <w:r w:rsidRPr="00EB1DD8">
              <w:rPr>
                <w:rFonts w:ascii="Times New Roman" w:eastAsia="Times New Roman" w:hAnsi="Times New Roman" w:cs="Times New Roman"/>
                <w:b/>
                <w:sz w:val="24"/>
                <w:szCs w:val="24"/>
                <w:lang w:eastAsia="uk-UA"/>
              </w:rPr>
              <w:t>яка</w:t>
            </w:r>
            <w:r w:rsidRPr="00EB1DD8">
              <w:rPr>
                <w:rFonts w:ascii="Times New Roman" w:eastAsia="Times New Roman" w:hAnsi="Times New Roman" w:cs="Times New Roman"/>
                <w:sz w:val="24"/>
                <w:szCs w:val="24"/>
                <w:lang w:eastAsia="uk-UA"/>
              </w:rPr>
              <w:t xml:space="preserve"> провадить клірингову діяльність) і подає до Комісії інформацію про результати такого розрахунку, дані, на основі яких здійснювався розрахунок, та відомості про контрагентів у разі, якщо значення нормативу концентрації кредитного ризику щодо певного контрагента перевищує нормативне значення.</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У разі відсутності жодного контрагента, значення нормативу концентрації кредитного ризику щодо якого перевищує нормативне значення, до Комісії подається відповідна інформація стосовно розрахунку нормативу за одним контрагентом, що не є банком або </w:t>
            </w:r>
            <w:r w:rsidRPr="00EB1DD8">
              <w:rPr>
                <w:rFonts w:ascii="Times New Roman" w:eastAsia="Times New Roman" w:hAnsi="Times New Roman" w:cs="Times New Roman"/>
                <w:b/>
                <w:sz w:val="24"/>
                <w:szCs w:val="24"/>
                <w:lang w:eastAsia="uk-UA"/>
              </w:rPr>
              <w:t>інвестиційною фірмою</w:t>
            </w:r>
            <w:r w:rsidRPr="00EB1DD8">
              <w:rPr>
                <w:rFonts w:ascii="Times New Roman" w:eastAsia="Times New Roman" w:hAnsi="Times New Roman" w:cs="Times New Roman"/>
                <w:sz w:val="24"/>
                <w:szCs w:val="24"/>
                <w:lang w:eastAsia="uk-UA"/>
              </w:rPr>
              <w:t xml:space="preserve">, та за одним контрагентом, що є банком або </w:t>
            </w:r>
            <w:r w:rsidRPr="00EB1DD8">
              <w:rPr>
                <w:rFonts w:ascii="Times New Roman" w:eastAsia="Times New Roman" w:hAnsi="Times New Roman" w:cs="Times New Roman"/>
                <w:b/>
                <w:sz w:val="24"/>
                <w:szCs w:val="24"/>
                <w:lang w:eastAsia="uk-UA"/>
              </w:rPr>
              <w:t>інвестиційною фірмою</w:t>
            </w:r>
            <w:r w:rsidRPr="00EB1DD8">
              <w:rPr>
                <w:rFonts w:ascii="Times New Roman" w:eastAsia="Times New Roman" w:hAnsi="Times New Roman" w:cs="Times New Roman"/>
                <w:sz w:val="24"/>
                <w:szCs w:val="24"/>
                <w:lang w:eastAsia="uk-UA"/>
              </w:rPr>
              <w:t>, значення нормативу концентрації кредитного ризику щодо яких є максимальним.</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7. Нормативне значення нормативу концентрації кредитного ризику щодо окремого контрагента, крім банків та </w:t>
            </w:r>
            <w:r w:rsidRPr="00EB1DD8">
              <w:rPr>
                <w:rFonts w:ascii="Times New Roman" w:eastAsia="Times New Roman" w:hAnsi="Times New Roman" w:cs="Times New Roman"/>
                <w:b/>
                <w:sz w:val="24"/>
                <w:szCs w:val="24"/>
                <w:lang w:eastAsia="uk-UA"/>
              </w:rPr>
              <w:t>інвестиційних фірм</w:t>
            </w:r>
            <w:r w:rsidRPr="00EB1DD8">
              <w:rPr>
                <w:rFonts w:ascii="Times New Roman" w:eastAsia="Times New Roman" w:hAnsi="Times New Roman" w:cs="Times New Roman"/>
                <w:sz w:val="24"/>
                <w:szCs w:val="24"/>
                <w:lang w:eastAsia="uk-UA"/>
              </w:rPr>
              <w:t>, становить не більше 25%. При цьому значення нормативу концентрації кредитного ризику щодо окремого контрагента не має бути від’ємним.</w:t>
            </w:r>
          </w:p>
          <w:p w:rsidR="001A33D5" w:rsidRPr="00EB1DD8" w:rsidRDefault="001A33D5" w:rsidP="00814B10">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t xml:space="preserve">8. Нормативне значення нормативу концентрації кредитного ризику щодо окремого </w:t>
            </w:r>
            <w:r w:rsidRPr="00EB1DD8">
              <w:rPr>
                <w:rFonts w:ascii="Times New Roman" w:eastAsia="Times New Roman" w:hAnsi="Times New Roman" w:cs="Times New Roman"/>
                <w:sz w:val="24"/>
                <w:szCs w:val="24"/>
                <w:lang w:eastAsia="uk-UA"/>
              </w:rPr>
              <w:lastRenderedPageBreak/>
              <w:t xml:space="preserve">контрагента, що є банком або </w:t>
            </w:r>
            <w:r w:rsidRPr="00EB1DD8">
              <w:rPr>
                <w:rFonts w:ascii="Times New Roman" w:eastAsia="Times New Roman" w:hAnsi="Times New Roman" w:cs="Times New Roman"/>
                <w:b/>
                <w:sz w:val="24"/>
                <w:szCs w:val="24"/>
                <w:lang w:eastAsia="uk-UA"/>
              </w:rPr>
              <w:t>інвестиційною фірмою</w:t>
            </w:r>
            <w:r w:rsidRPr="00EB1DD8">
              <w:rPr>
                <w:rFonts w:ascii="Times New Roman" w:eastAsia="Times New Roman" w:hAnsi="Times New Roman" w:cs="Times New Roman"/>
                <w:sz w:val="24"/>
                <w:szCs w:val="24"/>
                <w:lang w:eastAsia="uk-UA"/>
              </w:rPr>
              <w:t>, становить не більше 100%. При цьому значення нормативу концентрації кредитного ризику щодо окремого контрагента не має бути від’ємним.</w:t>
            </w:r>
          </w:p>
        </w:tc>
        <w:tc>
          <w:tcPr>
            <w:tcW w:w="4945" w:type="dxa"/>
          </w:tcPr>
          <w:p w:rsidR="001A33D5" w:rsidRPr="00EB1DD8" w:rsidRDefault="001A33D5"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D837CF" w:rsidRPr="00EB1DD8" w:rsidRDefault="00D837CF"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2D4723" w:rsidRPr="00EB1DD8" w:rsidRDefault="002D4723" w:rsidP="002D4723">
            <w:pPr>
              <w:shd w:val="clear" w:color="auto" w:fill="FFFFFF"/>
              <w:spacing w:before="150" w:after="0" w:line="240" w:lineRule="auto"/>
              <w:ind w:right="450"/>
              <w:rPr>
                <w:rFonts w:ascii="Times New Roman" w:eastAsia="Times New Roman" w:hAnsi="Times New Roman" w:cs="Times New Roman"/>
                <w:b/>
                <w:bCs/>
                <w:sz w:val="24"/>
                <w:szCs w:val="24"/>
                <w:lang w:eastAsia="uk-UA"/>
              </w:rPr>
            </w:pPr>
          </w:p>
          <w:p w:rsidR="00D837CF" w:rsidRPr="00EB1DD8" w:rsidRDefault="00D837CF" w:rsidP="002D4723">
            <w:pPr>
              <w:shd w:val="clear" w:color="auto" w:fill="FFFFFF"/>
              <w:spacing w:before="150" w:after="0" w:line="240" w:lineRule="auto"/>
              <w:ind w:right="450"/>
              <w:rPr>
                <w:rFonts w:ascii="Times New Roman" w:eastAsia="Times New Roman" w:hAnsi="Times New Roman" w:cs="Times New Roman"/>
                <w:b/>
                <w:bCs/>
                <w:sz w:val="24"/>
                <w:szCs w:val="24"/>
                <w:lang w:eastAsia="uk-UA"/>
              </w:rPr>
            </w:pP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val="ru-RU" w:eastAsia="uk-UA"/>
              </w:rPr>
              <w:t xml:space="preserve">Для часток у статутному капіталі підприємства (наприклад, </w:t>
            </w:r>
            <w:r w:rsidR="00D837CF" w:rsidRPr="00EB1DD8">
              <w:rPr>
                <w:rFonts w:ascii="Times New Roman" w:eastAsia="Times New Roman" w:hAnsi="Times New Roman" w:cs="Times New Roman"/>
                <w:b/>
                <w:sz w:val="24"/>
                <w:szCs w:val="24"/>
                <w:lang w:val="ru-RU" w:eastAsia="uk-UA"/>
              </w:rPr>
              <w:t xml:space="preserve">пайових цінних паперів або </w:t>
            </w:r>
            <w:r w:rsidRPr="00EB1DD8">
              <w:rPr>
                <w:rFonts w:ascii="Times New Roman" w:eastAsia="Times New Roman" w:hAnsi="Times New Roman" w:cs="Times New Roman"/>
                <w:b/>
                <w:sz w:val="24"/>
                <w:szCs w:val="24"/>
                <w:lang w:val="ru-RU" w:eastAsia="uk-UA"/>
              </w:rPr>
              <w:t>корпоративних прав</w:t>
            </w:r>
            <w:r w:rsidR="00D837CF" w:rsidRPr="00EB1DD8">
              <w:rPr>
                <w:rFonts w:ascii="Times New Roman" w:eastAsia="Times New Roman" w:hAnsi="Times New Roman" w:cs="Times New Roman"/>
                <w:b/>
                <w:sz w:val="24"/>
                <w:szCs w:val="24"/>
                <w:lang w:val="ru-RU" w:eastAsia="uk-UA"/>
              </w:rPr>
              <w:t>, виражених у інших, ніж цінні папери, формах</w:t>
            </w:r>
            <w:r w:rsidRPr="00EB1DD8">
              <w:rPr>
                <w:rFonts w:ascii="Times New Roman" w:eastAsia="Times New Roman" w:hAnsi="Times New Roman" w:cs="Times New Roman"/>
                <w:b/>
                <w:sz w:val="24"/>
                <w:szCs w:val="24"/>
                <w:lang w:val="ru-RU" w:eastAsia="uk-UA"/>
              </w:rPr>
              <w:t xml:space="preserve">) не притаманний </w:t>
            </w:r>
            <w:r w:rsidRPr="00EB1DD8">
              <w:rPr>
                <w:rFonts w:ascii="Times New Roman" w:eastAsia="Times New Roman" w:hAnsi="Times New Roman" w:cs="Times New Roman"/>
                <w:b/>
                <w:sz w:val="24"/>
                <w:szCs w:val="24"/>
                <w:lang w:eastAsia="uk-UA"/>
              </w:rPr>
              <w:t>кредитний ризик</w:t>
            </w:r>
            <w:r w:rsidR="00652F66" w:rsidRPr="00EB1DD8">
              <w:rPr>
                <w:rFonts w:ascii="Times New Roman" w:eastAsia="Times New Roman" w:hAnsi="Times New Roman" w:cs="Times New Roman"/>
                <w:b/>
                <w:sz w:val="24"/>
                <w:szCs w:val="24"/>
                <w:lang w:eastAsia="uk-UA"/>
              </w:rPr>
              <w:t xml:space="preserve">, оскільки за ними </w:t>
            </w:r>
            <w:r w:rsidR="00076D33" w:rsidRPr="00EB1DD8">
              <w:rPr>
                <w:rFonts w:ascii="Times New Roman" w:eastAsia="Times New Roman" w:hAnsi="Times New Roman" w:cs="Times New Roman"/>
                <w:b/>
                <w:sz w:val="24"/>
                <w:szCs w:val="24"/>
                <w:lang w:eastAsia="uk-UA"/>
              </w:rPr>
              <w:t xml:space="preserve">зазвичай </w:t>
            </w:r>
            <w:r w:rsidR="00652F66" w:rsidRPr="00EB1DD8">
              <w:rPr>
                <w:rFonts w:ascii="Times New Roman" w:eastAsia="Times New Roman" w:hAnsi="Times New Roman" w:cs="Times New Roman"/>
                <w:b/>
                <w:sz w:val="24"/>
                <w:szCs w:val="24"/>
                <w:lang w:eastAsia="uk-UA"/>
              </w:rPr>
              <w:t>не виникає зобов</w:t>
            </w:r>
            <w:r w:rsidR="00652F66" w:rsidRPr="00EB1DD8">
              <w:rPr>
                <w:rFonts w:ascii="Times New Roman" w:eastAsia="Times New Roman" w:hAnsi="Times New Roman" w:cs="Times New Roman"/>
                <w:b/>
                <w:sz w:val="24"/>
                <w:szCs w:val="24"/>
                <w:lang w:val="ru-RU" w:eastAsia="uk-UA"/>
              </w:rPr>
              <w:t>’</w:t>
            </w:r>
            <w:r w:rsidR="00652F66" w:rsidRPr="00EB1DD8">
              <w:rPr>
                <w:rFonts w:ascii="Times New Roman" w:eastAsia="Times New Roman" w:hAnsi="Times New Roman" w:cs="Times New Roman"/>
                <w:b/>
                <w:sz w:val="24"/>
                <w:szCs w:val="24"/>
                <w:lang w:eastAsia="uk-UA"/>
              </w:rPr>
              <w:t>язань у сплаті доходу</w:t>
            </w:r>
            <w:r w:rsidRPr="00EB1DD8">
              <w:rPr>
                <w:rFonts w:ascii="Times New Roman" w:eastAsia="Times New Roman" w:hAnsi="Times New Roman" w:cs="Times New Roman"/>
                <w:b/>
                <w:sz w:val="24"/>
                <w:szCs w:val="24"/>
                <w:lang w:eastAsia="uk-UA"/>
              </w:rPr>
              <w:t>.</w:t>
            </w:r>
          </w:p>
          <w:p w:rsidR="00FD3B1E" w:rsidRPr="00EB1DD8" w:rsidRDefault="00FD3B1E" w:rsidP="00FD3B1E">
            <w:pPr>
              <w:shd w:val="clear" w:color="auto" w:fill="FFFFFF"/>
              <w:spacing w:before="150" w:after="0" w:line="240" w:lineRule="auto"/>
              <w:ind w:right="450"/>
              <w:rPr>
                <w:rFonts w:ascii="Times New Roman" w:eastAsia="Times New Roman" w:hAnsi="Times New Roman" w:cs="Times New Roman"/>
                <w:b/>
                <w:bCs/>
                <w:sz w:val="24"/>
                <w:szCs w:val="24"/>
                <w:lang w:eastAsia="uk-UA"/>
              </w:rPr>
            </w:pPr>
          </w:p>
        </w:tc>
        <w:tc>
          <w:tcPr>
            <w:tcW w:w="5405" w:type="dxa"/>
          </w:tcPr>
          <w:p w:rsidR="00FD3B1E" w:rsidRPr="00EB1DD8" w:rsidRDefault="00FD3B1E" w:rsidP="00FD3B1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7. Норматив концентрації кредитного ризику</w:t>
            </w:r>
          </w:p>
          <w:p w:rsidR="00FD3B1E" w:rsidRPr="00EB1DD8" w:rsidRDefault="00FD3B1E" w:rsidP="00FD3B1E">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1. Норматив концентрації кредитного ризику встановлює обмеження кредитного ризику установи, що може виникнути внаслідок невиконання своїх зобов’язань окремим її контрагентом.</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2. Для розрахунку нормативу концентрації кредитного ризику контрагентом установи вважається будь-яка особа, </w:t>
            </w:r>
            <w:r w:rsidRPr="00EB1DD8">
              <w:rPr>
                <w:rFonts w:ascii="Times New Roman" w:eastAsia="Times New Roman" w:hAnsi="Times New Roman" w:cs="Times New Roman"/>
                <w:b/>
                <w:sz w:val="24"/>
                <w:szCs w:val="24"/>
                <w:lang w:val="ru-RU" w:eastAsia="uk-UA"/>
              </w:rPr>
              <w:t>яка має зобов</w:t>
            </w:r>
            <w:r w:rsidRPr="00EB1DD8">
              <w:rPr>
                <w:rFonts w:ascii="Times New Roman" w:eastAsia="Times New Roman" w:hAnsi="Times New Roman" w:cs="Times New Roman"/>
                <w:b/>
                <w:sz w:val="24"/>
                <w:szCs w:val="24"/>
                <w:lang w:eastAsia="uk-UA"/>
              </w:rPr>
              <w:t>’</w:t>
            </w:r>
            <w:r w:rsidRPr="00EB1DD8">
              <w:rPr>
                <w:rFonts w:ascii="Times New Roman" w:eastAsia="Times New Roman" w:hAnsi="Times New Roman" w:cs="Times New Roman"/>
                <w:b/>
                <w:sz w:val="24"/>
                <w:szCs w:val="24"/>
                <w:lang w:val="ru-RU" w:eastAsia="uk-UA"/>
              </w:rPr>
              <w:t>язання перед установою за позиціями в активах</w:t>
            </w:r>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установи, визначени</w:t>
            </w:r>
            <w:r w:rsidRPr="00EB1DD8">
              <w:rPr>
                <w:rFonts w:ascii="Times New Roman" w:eastAsia="Times New Roman" w:hAnsi="Times New Roman" w:cs="Times New Roman"/>
                <w:sz w:val="24"/>
                <w:szCs w:val="24"/>
                <w:lang w:val="ru-RU" w:eastAsia="uk-UA"/>
              </w:rPr>
              <w:t>х</w:t>
            </w:r>
            <w:r w:rsidRPr="00EB1DD8">
              <w:rPr>
                <w:rFonts w:ascii="Times New Roman" w:eastAsia="Times New Roman" w:hAnsi="Times New Roman" w:cs="Times New Roman"/>
                <w:sz w:val="24"/>
                <w:szCs w:val="24"/>
                <w:lang w:eastAsia="uk-UA"/>
              </w:rPr>
              <w:t> </w:t>
            </w:r>
            <w:hyperlink r:id="rId11" w:anchor="n557" w:history="1">
              <w:r w:rsidRPr="00EB1DD8">
                <w:rPr>
                  <w:rFonts w:ascii="Times New Roman" w:eastAsia="Times New Roman" w:hAnsi="Times New Roman" w:cs="Times New Roman"/>
                  <w:sz w:val="24"/>
                  <w:szCs w:val="24"/>
                  <w:lang w:eastAsia="uk-UA"/>
                </w:rPr>
                <w:t>пунктом 5</w:t>
              </w:r>
            </w:hyperlink>
            <w:r w:rsidRPr="00EB1DD8">
              <w:rPr>
                <w:rFonts w:ascii="Times New Roman" w:eastAsia="Times New Roman" w:hAnsi="Times New Roman" w:cs="Times New Roman"/>
                <w:sz w:val="24"/>
                <w:szCs w:val="24"/>
                <w:lang w:eastAsia="uk-UA"/>
              </w:rPr>
              <w:t> цієї глави.</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lastRenderedPageBreak/>
              <w:t xml:space="preserve">3. Норматив концентрації кредитного ризику визначається окремо щодо кожного контрагента установи як відношення суми всіх її активів, </w:t>
            </w:r>
            <w:r w:rsidRPr="00EB1DD8">
              <w:rPr>
                <w:rFonts w:ascii="Times New Roman" w:hAnsi="Times New Roman" w:cs="Times New Roman"/>
                <w:b/>
                <w:sz w:val="24"/>
                <w:szCs w:val="24"/>
              </w:rPr>
              <w:t xml:space="preserve">за якими </w:t>
            </w:r>
            <w:r w:rsidRPr="00EB1DD8">
              <w:rPr>
                <w:rFonts w:ascii="Times New Roman" w:hAnsi="Times New Roman" w:cs="Times New Roman"/>
                <w:b/>
                <w:sz w:val="24"/>
                <w:szCs w:val="24"/>
                <w:lang w:val="ru-RU"/>
              </w:rPr>
              <w:t xml:space="preserve">такий </w:t>
            </w:r>
            <w:r w:rsidRPr="00EB1DD8">
              <w:rPr>
                <w:rFonts w:ascii="Times New Roman" w:hAnsi="Times New Roman" w:cs="Times New Roman"/>
                <w:b/>
                <w:sz w:val="24"/>
                <w:szCs w:val="24"/>
              </w:rPr>
              <w:t>контрагент має зобов</w:t>
            </w:r>
            <w:r w:rsidRPr="00EB1DD8">
              <w:rPr>
                <w:rFonts w:ascii="Times New Roman" w:hAnsi="Times New Roman" w:cs="Times New Roman"/>
                <w:b/>
                <w:sz w:val="24"/>
                <w:szCs w:val="24"/>
                <w:lang w:val="ru-RU"/>
              </w:rPr>
              <w:t>'</w:t>
            </w:r>
            <w:r w:rsidRPr="00EB1DD8">
              <w:rPr>
                <w:rFonts w:ascii="Times New Roman" w:hAnsi="Times New Roman" w:cs="Times New Roman"/>
                <w:b/>
                <w:sz w:val="24"/>
                <w:szCs w:val="24"/>
              </w:rPr>
              <w:t>язання</w:t>
            </w:r>
            <w:r w:rsidRPr="00EB1DD8">
              <w:rPr>
                <w:rFonts w:ascii="Times New Roman" w:hAnsi="Times New Roman" w:cs="Times New Roman"/>
                <w:b/>
                <w:sz w:val="24"/>
                <w:szCs w:val="24"/>
                <w:lang w:val="ru-RU"/>
              </w:rPr>
              <w:t xml:space="preserve"> перед установою</w:t>
            </w:r>
            <w:r w:rsidRPr="00EB1DD8">
              <w:rPr>
                <w:rFonts w:ascii="Times New Roman" w:eastAsia="Times New Roman" w:hAnsi="Times New Roman" w:cs="Times New Roman"/>
                <w:sz w:val="24"/>
                <w:szCs w:val="24"/>
                <w:lang w:eastAsia="uk-UA"/>
              </w:rPr>
              <w:t>, до розміру її регулятивного капіталу.</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4. Норматив концентрації кредитного ризику розраховується за формулою</w:t>
            </w:r>
          </w:p>
          <w:p w:rsidR="00FD3B1E" w:rsidRPr="00EB1DD8" w:rsidRDefault="00FD3B1E" w:rsidP="00FD3B1E">
            <w:pPr>
              <w:shd w:val="clear" w:color="auto" w:fill="FFFFFF"/>
              <w:spacing w:after="150" w:line="240" w:lineRule="auto"/>
              <w:ind w:firstLine="450"/>
              <w:jc w:val="center"/>
              <w:rPr>
                <w:b/>
              </w:rPr>
            </w:pPr>
            <w:r w:rsidRPr="00EB1DD8">
              <w:rPr>
                <w:b/>
                <w:position w:val="-42"/>
              </w:rPr>
              <w:object w:dxaOrig="3620" w:dyaOrig="820">
                <v:shape id="_x0000_i1026" type="#_x0000_t75" style="width:181.55pt;height:41.3pt" o:ole="">
                  <v:imagedata r:id="rId9" o:title=""/>
                </v:shape>
                <o:OLEObject Type="Embed" ProgID="Equation.3" ShapeID="_x0000_i1026" DrawAspect="Content" ObjectID="_1700487662" r:id="rId12"/>
              </w:object>
            </w:r>
          </w:p>
          <w:p w:rsidR="00FD3B1E" w:rsidRPr="00EB1DD8" w:rsidRDefault="00FD3B1E" w:rsidP="00FD3B1E">
            <w:pPr>
              <w:shd w:val="clear" w:color="auto" w:fill="FFFFFF"/>
              <w:tabs>
                <w:tab w:val="left" w:pos="5341"/>
              </w:tabs>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де</w:t>
            </w:r>
            <w:r w:rsidRPr="00EB1DD8">
              <w:rPr>
                <w:rFonts w:ascii="Times New Roman" w:eastAsia="Times New Roman" w:hAnsi="Times New Roman" w:cs="Times New Roman"/>
                <w:sz w:val="24"/>
                <w:szCs w:val="24"/>
                <w:lang w:eastAsia="uk-UA"/>
              </w:rPr>
              <w:tab/>
            </w:r>
          </w:p>
          <w:tbl>
            <w:tblPr>
              <w:tblW w:w="5000" w:type="pct"/>
              <w:tblCellMar>
                <w:left w:w="0" w:type="dxa"/>
                <w:right w:w="0" w:type="dxa"/>
              </w:tblCellMar>
              <w:tblLook w:val="04A0" w:firstRow="1" w:lastRow="0" w:firstColumn="1" w:lastColumn="0" w:noHBand="0" w:noVBand="1"/>
            </w:tblPr>
            <w:tblGrid>
              <w:gridCol w:w="206"/>
              <w:gridCol w:w="390"/>
              <w:gridCol w:w="153"/>
              <w:gridCol w:w="4434"/>
            </w:tblGrid>
            <w:tr w:rsidR="00FD3B1E" w:rsidRPr="00EB1DD8" w:rsidTr="003D70DB">
              <w:tc>
                <w:tcPr>
                  <w:tcW w:w="540" w:type="dxa"/>
                  <w:tcBorders>
                    <w:top w:val="single" w:sz="2" w:space="0" w:color="auto"/>
                    <w:left w:val="single" w:sz="2" w:space="0" w:color="auto"/>
                    <w:bottom w:val="single" w:sz="2" w:space="0" w:color="auto"/>
                    <w:right w:val="single" w:sz="2" w:space="0" w:color="auto"/>
                  </w:tcBorders>
                  <w:hideMark/>
                </w:tcPr>
                <w:p w:rsidR="00FD3B1E" w:rsidRPr="00EB1DD8" w:rsidRDefault="00FD3B1E" w:rsidP="00FD3B1E">
                  <w:pPr>
                    <w:spacing w:before="150" w:after="150" w:line="240" w:lineRule="auto"/>
                    <w:rPr>
                      <w:rFonts w:ascii="Times New Roman" w:eastAsia="Times New Roman" w:hAnsi="Times New Roman" w:cs="Times New Roman"/>
                      <w:sz w:val="24"/>
                      <w:szCs w:val="24"/>
                      <w:lang w:eastAsia="uk-UA"/>
                    </w:rPr>
                  </w:pPr>
                </w:p>
              </w:tc>
              <w:tc>
                <w:tcPr>
                  <w:tcW w:w="660" w:type="dxa"/>
                  <w:tcBorders>
                    <w:top w:val="single" w:sz="2" w:space="0" w:color="auto"/>
                    <w:left w:val="single" w:sz="2" w:space="0" w:color="auto"/>
                    <w:bottom w:val="single" w:sz="2" w:space="0" w:color="auto"/>
                    <w:right w:val="single" w:sz="2" w:space="0" w:color="auto"/>
                  </w:tcBorders>
                  <w:hideMark/>
                </w:tcPr>
                <w:p w:rsidR="00FD3B1E" w:rsidRPr="00EB1DD8" w:rsidRDefault="00FD3B1E" w:rsidP="00FD3B1E">
                  <w:pPr>
                    <w:spacing w:before="150" w:after="150" w:line="240" w:lineRule="auto"/>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А</w:t>
                  </w:r>
                  <w:r w:rsidRPr="00EB1DD8">
                    <w:rPr>
                      <w:rFonts w:ascii="Times New Roman" w:eastAsia="Times New Roman" w:hAnsi="Times New Roman" w:cs="Times New Roman"/>
                      <w:b/>
                      <w:bCs/>
                      <w:sz w:val="16"/>
                      <w:szCs w:val="16"/>
                      <w:vertAlign w:val="subscript"/>
                      <w:lang w:eastAsia="uk-UA"/>
                    </w:rPr>
                    <w:t>k</w:t>
                  </w:r>
                </w:p>
              </w:tc>
              <w:tc>
                <w:tcPr>
                  <w:tcW w:w="270" w:type="dxa"/>
                  <w:tcBorders>
                    <w:top w:val="single" w:sz="2" w:space="0" w:color="auto"/>
                    <w:left w:val="single" w:sz="2" w:space="0" w:color="auto"/>
                    <w:bottom w:val="single" w:sz="2" w:space="0" w:color="auto"/>
                    <w:right w:val="single" w:sz="2" w:space="0" w:color="auto"/>
                  </w:tcBorders>
                  <w:hideMark/>
                </w:tcPr>
                <w:p w:rsidR="00FD3B1E" w:rsidRPr="00EB1DD8" w:rsidRDefault="00FD3B1E" w:rsidP="00FD3B1E">
                  <w:pPr>
                    <w:spacing w:before="150" w:after="150" w:line="240" w:lineRule="auto"/>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w:t>
                  </w:r>
                </w:p>
              </w:tc>
              <w:tc>
                <w:tcPr>
                  <w:tcW w:w="9645" w:type="dxa"/>
                  <w:tcBorders>
                    <w:top w:val="single" w:sz="2" w:space="0" w:color="auto"/>
                    <w:left w:val="single" w:sz="2" w:space="0" w:color="auto"/>
                    <w:bottom w:val="single" w:sz="2" w:space="0" w:color="auto"/>
                    <w:right w:val="single" w:sz="2" w:space="0" w:color="auto"/>
                  </w:tcBorders>
                  <w:hideMark/>
                </w:tcPr>
                <w:p w:rsidR="00FD3B1E" w:rsidRPr="00EB1DD8" w:rsidRDefault="00FD3B1E" w:rsidP="00FD3B1E">
                  <w:pPr>
                    <w:spacing w:before="150" w:after="150" w:line="240" w:lineRule="auto"/>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сума всіх активів установи, </w:t>
                  </w:r>
                  <w:r w:rsidRPr="00EB1DD8">
                    <w:rPr>
                      <w:rFonts w:ascii="Times New Roman" w:eastAsia="Times New Roman" w:hAnsi="Times New Roman" w:cs="Times New Roman"/>
                      <w:b/>
                      <w:sz w:val="24"/>
                      <w:szCs w:val="24"/>
                      <w:lang w:val="ru-RU" w:eastAsia="uk-UA"/>
                    </w:rPr>
                    <w:t>за якими</w:t>
                  </w:r>
                  <w:r w:rsidRPr="00EB1DD8">
                    <w:rPr>
                      <w:rFonts w:ascii="Times New Roman" w:eastAsia="Times New Roman" w:hAnsi="Times New Roman" w:cs="Times New Roman"/>
                      <w:b/>
                      <w:sz w:val="24"/>
                      <w:szCs w:val="24"/>
                      <w:lang w:eastAsia="uk-UA"/>
                    </w:rPr>
                    <w:t xml:space="preserve"> k-</w:t>
                  </w:r>
                  <w:r w:rsidRPr="00EB1DD8">
                    <w:rPr>
                      <w:rFonts w:ascii="Times New Roman" w:eastAsia="Times New Roman" w:hAnsi="Times New Roman" w:cs="Times New Roman"/>
                      <w:b/>
                      <w:sz w:val="24"/>
                      <w:szCs w:val="24"/>
                      <w:lang w:val="ru-RU" w:eastAsia="uk-UA"/>
                    </w:rPr>
                    <w:t>ий</w:t>
                  </w:r>
                  <w:r w:rsidRPr="00EB1DD8">
                    <w:rPr>
                      <w:rFonts w:ascii="Times New Roman" w:eastAsia="Times New Roman" w:hAnsi="Times New Roman" w:cs="Times New Roman"/>
                      <w:b/>
                      <w:sz w:val="24"/>
                      <w:szCs w:val="24"/>
                      <w:lang w:eastAsia="uk-UA"/>
                    </w:rPr>
                    <w:t xml:space="preserve"> контрагент</w:t>
                  </w:r>
                  <w:r w:rsidRPr="00EB1DD8">
                    <w:rPr>
                      <w:rFonts w:ascii="Times New Roman" w:eastAsia="Times New Roman" w:hAnsi="Times New Roman" w:cs="Times New Roman"/>
                      <w:b/>
                      <w:sz w:val="24"/>
                      <w:szCs w:val="24"/>
                      <w:lang w:val="ru-RU" w:eastAsia="uk-UA"/>
                    </w:rPr>
                    <w:t xml:space="preserve"> </w:t>
                  </w:r>
                  <w:r w:rsidRPr="00EB1DD8">
                    <w:rPr>
                      <w:rFonts w:ascii="Times New Roman" w:hAnsi="Times New Roman" w:cs="Times New Roman"/>
                      <w:b/>
                      <w:sz w:val="24"/>
                      <w:szCs w:val="24"/>
                    </w:rPr>
                    <w:t>має зобов</w:t>
                  </w:r>
                  <w:r w:rsidRPr="00EB1DD8">
                    <w:rPr>
                      <w:rFonts w:ascii="Times New Roman" w:hAnsi="Times New Roman" w:cs="Times New Roman"/>
                      <w:b/>
                      <w:sz w:val="24"/>
                      <w:szCs w:val="24"/>
                      <w:lang w:val="ru-RU"/>
                    </w:rPr>
                    <w:t>'</w:t>
                  </w:r>
                  <w:r w:rsidRPr="00EB1DD8">
                    <w:rPr>
                      <w:rFonts w:ascii="Times New Roman" w:hAnsi="Times New Roman" w:cs="Times New Roman"/>
                      <w:b/>
                      <w:sz w:val="24"/>
                      <w:szCs w:val="24"/>
                    </w:rPr>
                    <w:t>язання</w:t>
                  </w:r>
                  <w:r w:rsidRPr="00EB1DD8">
                    <w:rPr>
                      <w:rFonts w:ascii="Times New Roman" w:hAnsi="Times New Roman" w:cs="Times New Roman"/>
                      <w:b/>
                      <w:sz w:val="24"/>
                      <w:szCs w:val="24"/>
                      <w:lang w:val="ru-RU"/>
                    </w:rPr>
                    <w:t xml:space="preserve"> перед установою</w:t>
                  </w:r>
                  <w:r w:rsidRPr="00EB1DD8">
                    <w:rPr>
                      <w:rFonts w:ascii="Times New Roman" w:eastAsia="Times New Roman" w:hAnsi="Times New Roman" w:cs="Times New Roman"/>
                      <w:sz w:val="24"/>
                      <w:szCs w:val="24"/>
                      <w:lang w:eastAsia="uk-UA"/>
                    </w:rPr>
                    <w:t>.</w:t>
                  </w:r>
                </w:p>
              </w:tc>
            </w:tr>
          </w:tbl>
          <w:p w:rsidR="00FD3B1E" w:rsidRPr="00EB1DD8" w:rsidRDefault="00FD3B1E" w:rsidP="00FD3B1E">
            <w:pPr>
              <w:shd w:val="clear" w:color="auto" w:fill="FFFFFF"/>
              <w:spacing w:before="120"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5. До активів, </w:t>
            </w:r>
            <w:r w:rsidRPr="00EB1DD8">
              <w:rPr>
                <w:rFonts w:ascii="Times New Roman" w:hAnsi="Times New Roman" w:cs="Times New Roman"/>
                <w:b/>
                <w:sz w:val="24"/>
                <w:szCs w:val="24"/>
              </w:rPr>
              <w:t>за якими контрагент має зобов</w:t>
            </w:r>
            <w:r w:rsidRPr="00EB1DD8">
              <w:rPr>
                <w:rFonts w:ascii="Times New Roman" w:hAnsi="Times New Roman" w:cs="Times New Roman"/>
                <w:b/>
                <w:sz w:val="24"/>
                <w:szCs w:val="24"/>
                <w:lang w:val="ru-RU"/>
              </w:rPr>
              <w:t>'</w:t>
            </w:r>
            <w:r w:rsidRPr="00EB1DD8">
              <w:rPr>
                <w:rFonts w:ascii="Times New Roman" w:hAnsi="Times New Roman" w:cs="Times New Roman"/>
                <w:b/>
                <w:sz w:val="24"/>
                <w:szCs w:val="24"/>
              </w:rPr>
              <w:t>язання</w:t>
            </w:r>
            <w:r w:rsidRPr="00EB1DD8">
              <w:rPr>
                <w:rFonts w:ascii="Times New Roman" w:hAnsi="Times New Roman" w:cs="Times New Roman"/>
                <w:b/>
                <w:sz w:val="24"/>
                <w:szCs w:val="24"/>
                <w:lang w:val="ru-RU"/>
              </w:rPr>
              <w:t xml:space="preserve"> перед установою</w:t>
            </w:r>
            <w:r w:rsidRPr="00EB1DD8">
              <w:rPr>
                <w:rFonts w:ascii="Times New Roman" w:eastAsia="Times New Roman" w:hAnsi="Times New Roman" w:cs="Times New Roman"/>
                <w:sz w:val="24"/>
                <w:szCs w:val="24"/>
                <w:lang w:eastAsia="uk-UA"/>
              </w:rPr>
              <w:t>, належать:</w:t>
            </w:r>
          </w:p>
          <w:p w:rsidR="00D837CF" w:rsidRPr="00EB1DD8" w:rsidRDefault="00D837CF" w:rsidP="00FD3B1E">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(видалити)</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емсійні/неемісійні боргові цінні папери, випущені/видані контрагентом,</w:t>
            </w:r>
            <w:r w:rsidRPr="00EB1DD8">
              <w:rPr>
                <w:rFonts w:ascii="Times New Roman" w:eastAsia="Times New Roman" w:hAnsi="Times New Roman" w:cs="Times New Roman"/>
                <w:sz w:val="24"/>
                <w:szCs w:val="24"/>
                <w:lang w:eastAsia="uk-UA"/>
              </w:rPr>
              <w:t xml:space="preserve"> та доходи, нараховані за ними, крім державних цінних паперів, цінних паперів, гарантованих державою, та доходів, нарахованих за ними (в тому числі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w:t>
            </w:r>
            <w:r w:rsidRPr="00EB1DD8">
              <w:rPr>
                <w:rFonts w:ascii="Times New Roman" w:eastAsia="Times New Roman" w:hAnsi="Times New Roman" w:cs="Times New Roman"/>
                <w:sz w:val="24"/>
                <w:szCs w:val="24"/>
                <w:lang w:eastAsia="uk-UA"/>
              </w:rPr>
              <w:lastRenderedPageBreak/>
              <w:t>агентства, яке включене до переліку міжнародних рейтингових агентств, визнаних Комісією);</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заборгованість контргента перед установою, у тому числі</w:t>
            </w:r>
            <w:r w:rsidRPr="00EB1DD8">
              <w:rPr>
                <w:rFonts w:ascii="Times New Roman" w:eastAsia="Times New Roman" w:hAnsi="Times New Roman" w:cs="Times New Roman"/>
                <w:sz w:val="24"/>
                <w:szCs w:val="24"/>
                <w:lang w:eastAsia="uk-UA"/>
              </w:rPr>
              <w:t xml:space="preserve"> дебіторська заборгованість;</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грошові кошти </w:t>
            </w:r>
            <w:r w:rsidRPr="00EB1DD8">
              <w:rPr>
                <w:rFonts w:ascii="Times New Roman" w:eastAsia="Times New Roman" w:hAnsi="Times New Roman" w:cs="Times New Roman"/>
                <w:b/>
                <w:sz w:val="24"/>
                <w:szCs w:val="24"/>
                <w:lang w:eastAsia="uk-UA"/>
              </w:rPr>
              <w:t>установи</w:t>
            </w:r>
            <w:r w:rsidRPr="00EB1DD8">
              <w:rPr>
                <w:rFonts w:ascii="Times New Roman" w:eastAsia="Times New Roman" w:hAnsi="Times New Roman" w:cs="Times New Roman"/>
                <w:sz w:val="24"/>
                <w:szCs w:val="24"/>
                <w:lang w:eastAsia="uk-UA"/>
              </w:rPr>
              <w:t xml:space="preserve"> на поточних рахунках та депозити </w:t>
            </w:r>
            <w:r w:rsidRPr="00EB1DD8">
              <w:rPr>
                <w:rFonts w:ascii="Times New Roman" w:eastAsia="Times New Roman" w:hAnsi="Times New Roman" w:cs="Times New Roman"/>
                <w:b/>
                <w:sz w:val="24"/>
                <w:szCs w:val="24"/>
                <w:lang w:eastAsia="uk-UA"/>
              </w:rPr>
              <w:t>установи</w:t>
            </w:r>
            <w:r w:rsidRPr="00EB1DD8">
              <w:rPr>
                <w:rFonts w:ascii="Times New Roman" w:eastAsia="Times New Roman" w:hAnsi="Times New Roman" w:cs="Times New Roman"/>
                <w:sz w:val="24"/>
                <w:szCs w:val="24"/>
                <w:lang w:eastAsia="uk-UA"/>
              </w:rPr>
              <w:t xml:space="preserve"> в банках, а також доходи, нараховані за ними.</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6. Установа розраховує значення нормативу концентрації кредитного ризику щодо кожного контрагента (крім особи, </w:t>
            </w:r>
            <w:r w:rsidRPr="00EB1DD8">
              <w:rPr>
                <w:rFonts w:ascii="Times New Roman" w:eastAsia="Times New Roman" w:hAnsi="Times New Roman" w:cs="Times New Roman"/>
                <w:b/>
                <w:sz w:val="24"/>
                <w:szCs w:val="24"/>
                <w:lang w:eastAsia="uk-UA"/>
              </w:rPr>
              <w:t>яка</w:t>
            </w:r>
            <w:r w:rsidRPr="00EB1DD8">
              <w:rPr>
                <w:rFonts w:ascii="Times New Roman" w:eastAsia="Times New Roman" w:hAnsi="Times New Roman" w:cs="Times New Roman"/>
                <w:sz w:val="24"/>
                <w:szCs w:val="24"/>
                <w:lang w:eastAsia="uk-UA"/>
              </w:rPr>
              <w:t xml:space="preserve"> провадить клірингову діяльність) і подає до Комісії інформацію про результати такого розрахунку, дані, на основі яких здійснювався розрахунок, та відомості про контрагентів у разі, якщо значення нормативу концентрації кредитного ризику щодо певного контрагента перевищує нормативне значення.</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У разі відсутності жодного контрагента, значення нормативу концентрації кредитного ризику щодо якого перевищує нормативне значення, до Комісії подається відповідна інформація стосовно розрахунку нормативу за одним контрагентом, що не є банком або </w:t>
            </w:r>
            <w:r w:rsidRPr="00EB1DD8">
              <w:rPr>
                <w:rFonts w:ascii="Times New Roman" w:eastAsia="Times New Roman" w:hAnsi="Times New Roman" w:cs="Times New Roman"/>
                <w:b/>
                <w:sz w:val="24"/>
                <w:szCs w:val="24"/>
                <w:lang w:eastAsia="uk-UA"/>
              </w:rPr>
              <w:t>інвестиційною фірмою</w:t>
            </w:r>
            <w:r w:rsidRPr="00EB1DD8">
              <w:rPr>
                <w:rFonts w:ascii="Times New Roman" w:eastAsia="Times New Roman" w:hAnsi="Times New Roman" w:cs="Times New Roman"/>
                <w:sz w:val="24"/>
                <w:szCs w:val="24"/>
                <w:lang w:eastAsia="uk-UA"/>
              </w:rPr>
              <w:t xml:space="preserve">, та за одним контрагентом, що є банком або </w:t>
            </w:r>
            <w:r w:rsidRPr="00EB1DD8">
              <w:rPr>
                <w:rFonts w:ascii="Times New Roman" w:eastAsia="Times New Roman" w:hAnsi="Times New Roman" w:cs="Times New Roman"/>
                <w:b/>
                <w:sz w:val="24"/>
                <w:szCs w:val="24"/>
                <w:lang w:eastAsia="uk-UA"/>
              </w:rPr>
              <w:t>інвестиційною фірмою</w:t>
            </w:r>
            <w:r w:rsidRPr="00EB1DD8">
              <w:rPr>
                <w:rFonts w:ascii="Times New Roman" w:eastAsia="Times New Roman" w:hAnsi="Times New Roman" w:cs="Times New Roman"/>
                <w:sz w:val="24"/>
                <w:szCs w:val="24"/>
                <w:lang w:eastAsia="uk-UA"/>
              </w:rPr>
              <w:t>, значення нормативу концентрації кредитного ризику щодо яких є максимальним.</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7. Нормативне значення нормативу концентрації кредитного ризику щодо окремого контрагента, крім банків та </w:t>
            </w:r>
            <w:r w:rsidRPr="00EB1DD8">
              <w:rPr>
                <w:rFonts w:ascii="Times New Roman" w:eastAsia="Times New Roman" w:hAnsi="Times New Roman" w:cs="Times New Roman"/>
                <w:b/>
                <w:sz w:val="24"/>
                <w:szCs w:val="24"/>
                <w:lang w:eastAsia="uk-UA"/>
              </w:rPr>
              <w:t>інвестиційних фірм</w:t>
            </w:r>
            <w:r w:rsidRPr="00EB1DD8">
              <w:rPr>
                <w:rFonts w:ascii="Times New Roman" w:eastAsia="Times New Roman" w:hAnsi="Times New Roman" w:cs="Times New Roman"/>
                <w:sz w:val="24"/>
                <w:szCs w:val="24"/>
                <w:lang w:eastAsia="uk-UA"/>
              </w:rPr>
              <w:t xml:space="preserve">, становить не більше 25%. При цьому значення </w:t>
            </w:r>
            <w:r w:rsidRPr="00EB1DD8">
              <w:rPr>
                <w:rFonts w:ascii="Times New Roman" w:eastAsia="Times New Roman" w:hAnsi="Times New Roman" w:cs="Times New Roman"/>
                <w:sz w:val="24"/>
                <w:szCs w:val="24"/>
                <w:lang w:eastAsia="uk-UA"/>
              </w:rPr>
              <w:lastRenderedPageBreak/>
              <w:t>нормативу концентрації кредитного ризику щодо окремого контрагента не має бути від’ємним.</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8. Нормативне значення нормативу концентрації кредитного ризику щодо окремого контрагента, що є банком або </w:t>
            </w:r>
            <w:r w:rsidRPr="00EB1DD8">
              <w:rPr>
                <w:rFonts w:ascii="Times New Roman" w:eastAsia="Times New Roman" w:hAnsi="Times New Roman" w:cs="Times New Roman"/>
                <w:b/>
                <w:sz w:val="24"/>
                <w:szCs w:val="24"/>
                <w:lang w:eastAsia="uk-UA"/>
              </w:rPr>
              <w:t>інвестиційною фірмою</w:t>
            </w:r>
            <w:r w:rsidRPr="00EB1DD8">
              <w:rPr>
                <w:rFonts w:ascii="Times New Roman" w:eastAsia="Times New Roman" w:hAnsi="Times New Roman" w:cs="Times New Roman"/>
                <w:sz w:val="24"/>
                <w:szCs w:val="24"/>
                <w:lang w:eastAsia="uk-UA"/>
              </w:rPr>
              <w:t>, становить не більше 100%. При цьому значення нормативу концентрації кредитного ризику щодо окремого контрагента не має бути від’ємним.</w:t>
            </w:r>
          </w:p>
          <w:p w:rsidR="001A33D5" w:rsidRPr="00EB1DD8" w:rsidRDefault="001A33D5"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tc>
      </w:tr>
      <w:tr w:rsidR="00491A64" w:rsidRPr="00EB1DD8" w:rsidTr="0018386F">
        <w:trPr>
          <w:trHeight w:val="554"/>
        </w:trPr>
        <w:tc>
          <w:tcPr>
            <w:tcW w:w="5527" w:type="dxa"/>
          </w:tcPr>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bCs/>
                <w:sz w:val="24"/>
                <w:szCs w:val="24"/>
                <w:lang w:eastAsia="uk-UA"/>
              </w:rPr>
              <w:lastRenderedPageBreak/>
              <w:t>ІІІ. Пруденційні нормативи, що використовуються для вимірювання та оцінки ризиків діяльності з управління активами інституційних інвесторів (діяльність з управління активами), їх розрахунок та нормативні значення</w:t>
            </w:r>
          </w:p>
          <w:p w:rsidR="00491A64" w:rsidRPr="00EB1DD8" w:rsidRDefault="00491A64" w:rsidP="00491A64">
            <w:pPr>
              <w:shd w:val="clear" w:color="auto" w:fill="FFFFFF"/>
              <w:spacing w:before="150" w:after="0" w:line="240" w:lineRule="auto"/>
              <w:ind w:left="450" w:right="450"/>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bCs/>
                <w:sz w:val="24"/>
                <w:szCs w:val="24"/>
                <w:lang w:eastAsia="uk-UA"/>
              </w:rPr>
              <w:t>1. Показники, що використовуються для вимірювання та оцінки ризиків діяльності з управління активами інституційних інвесторів (діяльність з управління активами)</w:t>
            </w:r>
          </w:p>
          <w:p w:rsidR="00491A64" w:rsidRPr="00EB1DD8" w:rsidRDefault="00491A64" w:rsidP="00491A64">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756F32" w:rsidRPr="00EB1DD8" w:rsidRDefault="00756F32"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1. Для вимірювання та оцінки ризиків діяльності з управління активами використовуються такі показники:</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розмір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2)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3) коефіцієнт покриття операційного ризику;</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sz w:val="24"/>
                <w:szCs w:val="24"/>
                <w:lang w:eastAsia="uk-UA"/>
              </w:rPr>
              <w:lastRenderedPageBreak/>
              <w:t>4) коефіцієнт фінансової стійкості</w:t>
            </w:r>
            <w:r w:rsidRPr="00EB1DD8">
              <w:rPr>
                <w:rFonts w:ascii="Times New Roman" w:eastAsia="Times New Roman" w:hAnsi="Times New Roman" w:cs="Times New Roman"/>
                <w:b/>
                <w:sz w:val="24"/>
                <w:szCs w:val="24"/>
                <w:lang w:eastAsia="uk-UA"/>
              </w:rPr>
              <w:t>;</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5) норматив концентрації кредитного ризику.</w:t>
            </w: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t xml:space="preserve">2. Нормативні значення нормативу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та коефіцієнта покриття операційного ризику не поширюються на </w:t>
            </w:r>
            <w:r w:rsidRPr="00EB1DD8">
              <w:rPr>
                <w:rFonts w:ascii="Times New Roman" w:eastAsia="Times New Roman" w:hAnsi="Times New Roman" w:cs="Times New Roman"/>
                <w:b/>
                <w:noProof w:val="0"/>
                <w:sz w:val="24"/>
                <w:szCs w:val="24"/>
                <w:lang w:eastAsia="uk-UA"/>
              </w:rPr>
              <w:t xml:space="preserve">компанії з управління активами (далі - Компанія) </w:t>
            </w:r>
            <w:r w:rsidRPr="00EB1DD8">
              <w:rPr>
                <w:rFonts w:ascii="Times New Roman" w:eastAsia="Times New Roman" w:hAnsi="Times New Roman" w:cs="Times New Roman"/>
                <w:sz w:val="24"/>
                <w:szCs w:val="24"/>
                <w:lang w:eastAsia="uk-UA"/>
              </w:rPr>
              <w:t xml:space="preserve">до закінчення першого повного фінансового року з дати видачі ліцензії в разі, якщо такі Компанії вперше отримали ліцензію на провадження професійної діяльності на </w:t>
            </w:r>
            <w:r w:rsidRPr="00EB1DD8">
              <w:rPr>
                <w:rFonts w:ascii="Times New Roman" w:eastAsia="Times New Roman" w:hAnsi="Times New Roman" w:cs="Times New Roman"/>
                <w:b/>
                <w:sz w:val="24"/>
                <w:szCs w:val="24"/>
                <w:lang w:eastAsia="uk-UA"/>
              </w:rPr>
              <w:t>ринках капіталу</w:t>
            </w:r>
            <w:r w:rsidRPr="00EB1DD8">
              <w:rPr>
                <w:rFonts w:ascii="Times New Roman" w:eastAsia="Times New Roman" w:hAnsi="Times New Roman" w:cs="Times New Roman"/>
                <w:sz w:val="24"/>
                <w:szCs w:val="24"/>
                <w:lang w:eastAsia="uk-UA"/>
              </w:rPr>
              <w:t xml:space="preserve"> - діяльності з управління активами інституційних інвесторів (діяльності з управління активами).</w:t>
            </w:r>
          </w:p>
        </w:tc>
        <w:tc>
          <w:tcPr>
            <w:tcW w:w="4945" w:type="dxa"/>
          </w:tcPr>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756F32" w:rsidRPr="00EB1DD8" w:rsidRDefault="00756F32"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18386F" w:rsidRPr="00EB1DD8" w:rsidRDefault="00491A64" w:rsidP="00491A64">
            <w:pPr>
              <w:shd w:val="clear" w:color="auto" w:fill="FFFFFF"/>
              <w:spacing w:after="150" w:line="240" w:lineRule="auto"/>
              <w:ind w:firstLine="450"/>
              <w:jc w:val="both"/>
              <w:rPr>
                <w:rFonts w:ascii="Times New Roman" w:hAnsi="Times New Roman" w:cs="Times New Roman"/>
                <w:b/>
                <w:color w:val="000000"/>
                <w:sz w:val="24"/>
                <w:szCs w:val="24"/>
              </w:rPr>
            </w:pPr>
            <w:r w:rsidRPr="00EB1DD8">
              <w:rPr>
                <w:rFonts w:ascii="Times New Roman" w:eastAsia="Times New Roman" w:hAnsi="Times New Roman" w:cs="Times New Roman"/>
                <w:b/>
                <w:sz w:val="24"/>
                <w:szCs w:val="24"/>
                <w:lang w:eastAsia="uk-UA"/>
              </w:rPr>
              <w:t xml:space="preserve">Цей показник </w:t>
            </w:r>
            <w:r w:rsidR="002A74E3">
              <w:rPr>
                <w:rFonts w:ascii="Times New Roman" w:eastAsia="Times New Roman" w:hAnsi="Times New Roman" w:cs="Times New Roman"/>
                <w:b/>
                <w:sz w:val="24"/>
                <w:szCs w:val="24"/>
                <w:lang w:val="ru-RU" w:eastAsia="uk-UA"/>
              </w:rPr>
              <w:t>не ма</w:t>
            </w:r>
            <w:r w:rsidRPr="00EB1DD8">
              <w:rPr>
                <w:rFonts w:ascii="Times New Roman" w:eastAsia="Times New Roman" w:hAnsi="Times New Roman" w:cs="Times New Roman"/>
                <w:b/>
                <w:sz w:val="24"/>
                <w:szCs w:val="24"/>
                <w:lang w:eastAsia="uk-UA"/>
              </w:rPr>
              <w:t>є за</w:t>
            </w:r>
            <w:r w:rsidR="002A74E3">
              <w:rPr>
                <w:rFonts w:ascii="Times New Roman" w:eastAsia="Times New Roman" w:hAnsi="Times New Roman" w:cs="Times New Roman"/>
                <w:b/>
                <w:sz w:val="24"/>
                <w:szCs w:val="24"/>
                <w:lang w:val="ru-RU" w:eastAsia="uk-UA"/>
              </w:rPr>
              <w:t xml:space="preserve">стосовуватися до </w:t>
            </w:r>
            <w:r w:rsidRPr="00EB1DD8">
              <w:rPr>
                <w:rFonts w:ascii="Times New Roman" w:eastAsia="Times New Roman" w:hAnsi="Times New Roman" w:cs="Times New Roman"/>
                <w:b/>
                <w:sz w:val="24"/>
                <w:szCs w:val="24"/>
                <w:lang w:eastAsia="uk-UA"/>
              </w:rPr>
              <w:t xml:space="preserve">КУА. </w:t>
            </w:r>
            <w:r w:rsidRPr="00EB1DD8">
              <w:rPr>
                <w:rFonts w:ascii="Times New Roman" w:hAnsi="Times New Roman" w:cs="Times New Roman"/>
                <w:b/>
                <w:sz w:val="24"/>
                <w:szCs w:val="24"/>
              </w:rPr>
              <w:t>У Положенні № 1597</w:t>
            </w:r>
            <w:r w:rsidRPr="00EB1DD8">
              <w:rPr>
                <w:rFonts w:ascii="Times New Roman" w:hAnsi="Times New Roman" w:cs="Times New Roman"/>
                <w:sz w:val="24"/>
                <w:szCs w:val="24"/>
              </w:rPr>
              <w:t xml:space="preserve"> </w:t>
            </w:r>
            <w:r w:rsidRPr="00EB1DD8">
              <w:rPr>
                <w:rFonts w:ascii="Times New Roman" w:hAnsi="Times New Roman" w:cs="Times New Roman"/>
                <w:b/>
                <w:sz w:val="24"/>
                <w:szCs w:val="24"/>
              </w:rPr>
              <w:t>вже є пруденційні показники для КУА, достатні для пруденційного нагляду за їхньою діяльністю</w:t>
            </w:r>
            <w:r w:rsidRPr="00EB1DD8">
              <w:rPr>
                <w:rFonts w:ascii="Times New Roman" w:hAnsi="Times New Roman" w:cs="Times New Roman"/>
                <w:b/>
                <w:color w:val="000000"/>
                <w:sz w:val="24"/>
                <w:szCs w:val="24"/>
              </w:rPr>
              <w:t xml:space="preserve"> і передбачені Директивами ЄС, які регулюють їхню діяльність</w:t>
            </w:r>
            <w:r w:rsidRPr="00EB1DD8">
              <w:rPr>
                <w:rFonts w:ascii="Times New Roman" w:hAnsi="Times New Roman" w:cs="Times New Roman"/>
                <w:b/>
                <w:sz w:val="24"/>
                <w:szCs w:val="24"/>
              </w:rPr>
              <w:t xml:space="preserve">, а саме: </w:t>
            </w:r>
            <w:r w:rsidRPr="00EB1DD8">
              <w:rPr>
                <w:rFonts w:ascii="Times New Roman" w:hAnsi="Times New Roman" w:cs="Times New Roman"/>
                <w:b/>
                <w:color w:val="000000"/>
                <w:sz w:val="24"/>
                <w:szCs w:val="24"/>
              </w:rPr>
              <w:t xml:space="preserve">розмір власних коштів (регулятивного капіталу) та </w:t>
            </w:r>
            <w:r w:rsidRPr="00EB1DD8">
              <w:rPr>
                <w:rFonts w:ascii="Times New Roman" w:hAnsi="Times New Roman" w:cs="Times New Roman"/>
                <w:b/>
                <w:sz w:val="24"/>
                <w:szCs w:val="24"/>
              </w:rPr>
              <w:t>норматив достатності власних коштів</w:t>
            </w:r>
            <w:r w:rsidRPr="00EB1DD8">
              <w:rPr>
                <w:rFonts w:ascii="Times New Roman" w:hAnsi="Times New Roman" w:cs="Times New Roman"/>
                <w:b/>
                <w:sz w:val="24"/>
                <w:szCs w:val="24"/>
                <w:lang w:eastAsia="uk-UA"/>
              </w:rPr>
              <w:t xml:space="preserve">. </w:t>
            </w:r>
            <w:r w:rsidRPr="00EB1DD8">
              <w:rPr>
                <w:rFonts w:ascii="Times New Roman" w:hAnsi="Times New Roman" w:cs="Times New Roman"/>
                <w:b/>
                <w:color w:val="000000"/>
                <w:sz w:val="24"/>
                <w:szCs w:val="24"/>
              </w:rPr>
              <w:t xml:space="preserve">Застосування вимог Регламентів ЄС чи інших документів, які регламентують діяльність банків та кредитних установ (зокрема, </w:t>
            </w:r>
            <w:r w:rsidR="002A7214" w:rsidRPr="00EB1DD8">
              <w:rPr>
                <w:rFonts w:ascii="Times New Roman" w:hAnsi="Times New Roman" w:cs="Times New Roman"/>
                <w:b/>
                <w:color w:val="000000"/>
                <w:sz w:val="24"/>
                <w:szCs w:val="24"/>
              </w:rPr>
              <w:t xml:space="preserve">пакету </w:t>
            </w:r>
            <w:r w:rsidRPr="00EB1DD8">
              <w:rPr>
                <w:rFonts w:ascii="Times New Roman" w:hAnsi="Times New Roman" w:cs="Times New Roman"/>
                <w:b/>
                <w:color w:val="000000"/>
                <w:sz w:val="24"/>
                <w:szCs w:val="24"/>
              </w:rPr>
              <w:t xml:space="preserve">CRD </w:t>
            </w:r>
            <w:r w:rsidRPr="00EB1DD8">
              <w:rPr>
                <w:rFonts w:ascii="Times New Roman" w:hAnsi="Times New Roman" w:cs="Times New Roman"/>
                <w:b/>
                <w:color w:val="000000"/>
                <w:sz w:val="24"/>
                <w:szCs w:val="24"/>
                <w:lang w:val="en-US"/>
              </w:rPr>
              <w:t>IV</w:t>
            </w:r>
            <w:r w:rsidRPr="00EB1DD8">
              <w:rPr>
                <w:rFonts w:ascii="Times New Roman" w:hAnsi="Times New Roman" w:cs="Times New Roman"/>
                <w:b/>
                <w:color w:val="000000"/>
                <w:sz w:val="24"/>
                <w:szCs w:val="24"/>
              </w:rPr>
              <w:t xml:space="preserve">), що виходять за межі окремих статей, на які посилаються спеціальні Директиви, що регламентують діяльність з управління активами, і понад уже запроваджені додаткові нормативи (у цьому випадку – </w:t>
            </w:r>
            <w:r w:rsidRPr="00EB1DD8">
              <w:rPr>
                <w:rFonts w:ascii="Times New Roman" w:hAnsi="Times New Roman" w:cs="Times New Roman"/>
                <w:b/>
                <w:bCs/>
                <w:sz w:val="24"/>
                <w:szCs w:val="24"/>
                <w:lang w:eastAsia="uk-UA"/>
              </w:rPr>
              <w:t xml:space="preserve">коефіцієнт </w:t>
            </w:r>
            <w:r w:rsidRPr="00EB1DD8">
              <w:rPr>
                <w:rFonts w:ascii="Times New Roman" w:hAnsi="Times New Roman" w:cs="Times New Roman"/>
                <w:b/>
                <w:sz w:val="24"/>
                <w:szCs w:val="24"/>
                <w:lang w:eastAsia="uk-UA"/>
              </w:rPr>
              <w:t>покриття операційного ризику</w:t>
            </w:r>
            <w:r w:rsidRPr="00EB1DD8">
              <w:rPr>
                <w:rFonts w:ascii="Times New Roman" w:hAnsi="Times New Roman" w:cs="Times New Roman"/>
                <w:b/>
                <w:color w:val="000000"/>
                <w:sz w:val="24"/>
                <w:szCs w:val="24"/>
              </w:rPr>
              <w:t>)</w:t>
            </w:r>
            <w:r w:rsidR="00C537B5" w:rsidRPr="00EB1DD8">
              <w:rPr>
                <w:rFonts w:ascii="Times New Roman" w:hAnsi="Times New Roman" w:cs="Times New Roman"/>
                <w:b/>
                <w:color w:val="000000"/>
                <w:sz w:val="24"/>
                <w:szCs w:val="24"/>
              </w:rPr>
              <w:t xml:space="preserve">, є некоректним і </w:t>
            </w:r>
            <w:r w:rsidR="0018386F" w:rsidRPr="00EB1DD8">
              <w:rPr>
                <w:rFonts w:ascii="Times New Roman" w:hAnsi="Times New Roman" w:cs="Times New Roman"/>
                <w:b/>
                <w:color w:val="000000"/>
                <w:sz w:val="24"/>
                <w:szCs w:val="24"/>
              </w:rPr>
              <w:t>недоцільним, адже діяльність КУА принципово відрізняється від діяльності банків та інвестиційних фірм, зокрема, тим, що перші мають окремий баланс від фондів в управлінні та не відповідають за фінансовими зобов’язаннями цих фондів.</w:t>
            </w:r>
          </w:p>
          <w:p w:rsidR="00491A64" w:rsidRPr="00EB1DD8" w:rsidRDefault="0018386F" w:rsidP="0018386F">
            <w:pPr>
              <w:shd w:val="clear" w:color="auto" w:fill="FFFFFF"/>
              <w:spacing w:after="150" w:line="240" w:lineRule="auto"/>
              <w:ind w:firstLine="450"/>
              <w:jc w:val="both"/>
              <w:rPr>
                <w:rFonts w:ascii="Times New Roman" w:hAnsi="Times New Roman" w:cs="Times New Roman"/>
                <w:b/>
                <w:color w:val="000000"/>
                <w:sz w:val="24"/>
                <w:szCs w:val="24"/>
              </w:rPr>
            </w:pPr>
            <w:r w:rsidRPr="00EB1DD8">
              <w:rPr>
                <w:rFonts w:ascii="Times New Roman" w:hAnsi="Times New Roman" w:cs="Times New Roman"/>
                <w:b/>
                <w:color w:val="000000"/>
                <w:sz w:val="24"/>
                <w:szCs w:val="24"/>
              </w:rPr>
              <w:t xml:space="preserve">Крім того, воно </w:t>
            </w:r>
            <w:r w:rsidR="00491A64" w:rsidRPr="00EB1DD8">
              <w:rPr>
                <w:rFonts w:ascii="Times New Roman" w:hAnsi="Times New Roman" w:cs="Times New Roman"/>
                <w:b/>
                <w:color w:val="000000"/>
                <w:sz w:val="24"/>
                <w:szCs w:val="24"/>
              </w:rPr>
              <w:t xml:space="preserve">загрожує нормальному функціонуванню ринку, особливо в нинішніх кризових умовах. </w:t>
            </w:r>
            <w:r w:rsidR="00491A64" w:rsidRPr="00EB1DD8">
              <w:rPr>
                <w:rFonts w:ascii="Times New Roman" w:hAnsi="Times New Roman" w:cs="Times New Roman"/>
                <w:b/>
                <w:sz w:val="24"/>
                <w:szCs w:val="24"/>
              </w:rPr>
              <w:t xml:space="preserve">Розрахунок і контроль показників тих чи інших видів ризику має визначатися специфікою бізнесу і складом активів конкретного профучасника, його стратегією та політиками управління ризиками, </w:t>
            </w:r>
            <w:r w:rsidR="00491A64" w:rsidRPr="00EB1DD8">
              <w:rPr>
                <w:rFonts w:ascii="Times New Roman" w:hAnsi="Times New Roman" w:cs="Times New Roman"/>
                <w:b/>
                <w:color w:val="000000"/>
                <w:sz w:val="24"/>
                <w:szCs w:val="24"/>
              </w:rPr>
              <w:lastRenderedPageBreak/>
              <w:t>виходячи з того, які ризики є суттєвими для нього. Про це йде мова у тому числі і в законодавстві ЄС.</w:t>
            </w:r>
          </w:p>
        </w:tc>
        <w:tc>
          <w:tcPr>
            <w:tcW w:w="5405" w:type="dxa"/>
          </w:tcPr>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bCs/>
                <w:sz w:val="24"/>
                <w:szCs w:val="24"/>
                <w:lang w:eastAsia="uk-UA"/>
              </w:rPr>
              <w:lastRenderedPageBreak/>
              <w:t>ІІІ. Пруденційні нормативи, що використовуються для вимірювання та оцінки ризиків діяльності з управління активами інституційних інвесторів (діяльність з управління активами), їх розрахунок та нормативні значення</w:t>
            </w:r>
          </w:p>
          <w:p w:rsidR="00491A64" w:rsidRPr="00EB1DD8" w:rsidRDefault="00491A64" w:rsidP="00491A64">
            <w:pPr>
              <w:shd w:val="clear" w:color="auto" w:fill="FFFFFF"/>
              <w:spacing w:before="150" w:after="0" w:line="240" w:lineRule="auto"/>
              <w:ind w:left="450" w:right="450"/>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bCs/>
                <w:sz w:val="24"/>
                <w:szCs w:val="24"/>
                <w:lang w:eastAsia="uk-UA"/>
              </w:rPr>
              <w:t>1. Показники, що використовуються для вимірювання та оцінки ризиків діяльності з управління активами інституційних інвесторів (діяльність з управління активами)</w:t>
            </w:r>
          </w:p>
          <w:p w:rsidR="00491A64" w:rsidRPr="00EB1DD8" w:rsidRDefault="00491A64" w:rsidP="00491A64">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1. Для вимірювання та оцінки ризиків діяльності з управління активами використовуються такі показники:</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розмір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2)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3) коефіцієнт покриття операційного ризику;</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sz w:val="24"/>
                <w:szCs w:val="24"/>
                <w:lang w:eastAsia="uk-UA"/>
              </w:rPr>
              <w:lastRenderedPageBreak/>
              <w:t>4) коефіцієнт фінансової стійкості</w:t>
            </w:r>
            <w:r w:rsidRPr="00EB1DD8">
              <w:rPr>
                <w:rFonts w:ascii="Times New Roman" w:eastAsia="Times New Roman" w:hAnsi="Times New Roman" w:cs="Times New Roman"/>
                <w:b/>
                <w:sz w:val="24"/>
                <w:szCs w:val="24"/>
                <w:lang w:eastAsia="uk-UA"/>
              </w:rPr>
              <w:t>;</w:t>
            </w:r>
          </w:p>
          <w:p w:rsidR="00491A64" w:rsidRPr="00EB1DD8" w:rsidRDefault="0085461E"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2A74E3">
              <w:rPr>
                <w:rFonts w:ascii="Times New Roman" w:eastAsia="Times New Roman" w:hAnsi="Times New Roman" w:cs="Times New Roman"/>
                <w:b/>
                <w:bCs/>
                <w:sz w:val="24"/>
                <w:szCs w:val="24"/>
                <w:lang w:eastAsia="uk-UA"/>
              </w:rPr>
              <w:t>(видалити)</w:t>
            </w: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t xml:space="preserve">2. Нормативні значення нормативу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та коефіцієнта покриття операційного ризику не поширюються на </w:t>
            </w:r>
            <w:r w:rsidRPr="00EB1DD8">
              <w:rPr>
                <w:rFonts w:ascii="Times New Roman" w:eastAsia="Times New Roman" w:hAnsi="Times New Roman" w:cs="Times New Roman"/>
                <w:b/>
                <w:noProof w:val="0"/>
                <w:sz w:val="24"/>
                <w:szCs w:val="24"/>
                <w:lang w:eastAsia="uk-UA"/>
              </w:rPr>
              <w:t xml:space="preserve">компанії з управління активами (далі - Компанія) </w:t>
            </w:r>
            <w:r w:rsidRPr="00EB1DD8">
              <w:rPr>
                <w:rFonts w:ascii="Times New Roman" w:eastAsia="Times New Roman" w:hAnsi="Times New Roman" w:cs="Times New Roman"/>
                <w:sz w:val="24"/>
                <w:szCs w:val="24"/>
                <w:lang w:eastAsia="uk-UA"/>
              </w:rPr>
              <w:t xml:space="preserve">до закінчення першого повного фінансового року з дати видачі ліцензії в разі, якщо такі Компанії вперше отримали ліцензію на провадження професійної діяльності на </w:t>
            </w:r>
            <w:r w:rsidRPr="00EB1DD8">
              <w:rPr>
                <w:rFonts w:ascii="Times New Roman" w:eastAsia="Times New Roman" w:hAnsi="Times New Roman" w:cs="Times New Roman"/>
                <w:b/>
                <w:sz w:val="24"/>
                <w:szCs w:val="24"/>
                <w:lang w:eastAsia="uk-UA"/>
              </w:rPr>
              <w:t>ринках капіталу</w:t>
            </w:r>
            <w:r w:rsidRPr="00EB1DD8">
              <w:rPr>
                <w:rFonts w:ascii="Times New Roman" w:eastAsia="Times New Roman" w:hAnsi="Times New Roman" w:cs="Times New Roman"/>
                <w:sz w:val="24"/>
                <w:szCs w:val="24"/>
                <w:lang w:eastAsia="uk-UA"/>
              </w:rPr>
              <w:t xml:space="preserve"> - діяльності з управління активами інституційних інвесторів (діяльності з управління активами).</w:t>
            </w:r>
          </w:p>
        </w:tc>
      </w:tr>
      <w:tr w:rsidR="002A615E" w:rsidRPr="00EB1DD8" w:rsidTr="0018386F">
        <w:trPr>
          <w:trHeight w:val="554"/>
        </w:trPr>
        <w:tc>
          <w:tcPr>
            <w:tcW w:w="5527" w:type="dxa"/>
          </w:tcPr>
          <w:p w:rsidR="002A615E" w:rsidRPr="00EB1DD8" w:rsidRDefault="002A615E" w:rsidP="002A615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6. Норматив концентрації кредитного ризику</w:t>
            </w:r>
          </w:p>
          <w:p w:rsidR="002A615E" w:rsidRPr="00EB1DD8" w:rsidRDefault="002A615E" w:rsidP="002A615E">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1. Норматив концентрації кредитного ризику встановлює обмеження кредитного ризику Компанії, що може виникнути внаслідок невиконання своїх зобов’язань окремим її контрагентом.</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2. Норматив концентрації кредитного ризику розраховується в порядку, передбаченому </w:t>
            </w:r>
            <w:hyperlink r:id="rId13" w:anchor="n72" w:history="1">
              <w:r w:rsidRPr="00EB1DD8">
                <w:rPr>
                  <w:rFonts w:ascii="Times New Roman" w:eastAsia="Times New Roman" w:hAnsi="Times New Roman" w:cs="Times New Roman"/>
                  <w:b/>
                  <w:sz w:val="24"/>
                  <w:szCs w:val="24"/>
                  <w:lang w:eastAsia="uk-UA"/>
                </w:rPr>
                <w:t>главою 7</w:t>
              </w:r>
            </w:hyperlink>
            <w:r w:rsidRPr="00EB1DD8">
              <w:rPr>
                <w:rFonts w:ascii="Times New Roman" w:eastAsia="Times New Roman" w:hAnsi="Times New Roman" w:cs="Times New Roman"/>
                <w:b/>
                <w:sz w:val="24"/>
                <w:szCs w:val="24"/>
                <w:lang w:eastAsia="uk-UA"/>
              </w:rPr>
              <w:t xml:space="preserve"> розділу ІІ цього Положення.</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 xml:space="preserve">3. Нормативне значення нормативу концентрації кредитного ризику щодо окремого контрагента, крім банків та інвестиційних фірм, становить не більше 25%. При цьому значення нормативу концентрації кредитного ризику </w:t>
            </w:r>
            <w:r w:rsidRPr="00EB1DD8">
              <w:rPr>
                <w:rFonts w:ascii="Times New Roman" w:eastAsia="Times New Roman" w:hAnsi="Times New Roman" w:cs="Times New Roman"/>
                <w:b/>
                <w:sz w:val="24"/>
                <w:szCs w:val="24"/>
                <w:lang w:eastAsia="uk-UA"/>
              </w:rPr>
              <w:lastRenderedPageBreak/>
              <w:t>щодо окремого контрагента не має бути від’ємним.</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sz w:val="24"/>
                <w:szCs w:val="24"/>
                <w:lang w:eastAsia="uk-UA"/>
              </w:rPr>
              <w:t>4. Нормативне значення нормативу концентрації кредитного ризику щодо окремого контрагента, що є банком або інвестиційною фірмою, становить не більше 100%. При цьому значення нормативу концентрації кредитного ризику щодо окремого контрагента не має бути від’ємним.</w:t>
            </w:r>
          </w:p>
        </w:tc>
        <w:tc>
          <w:tcPr>
            <w:tcW w:w="4945" w:type="dxa"/>
          </w:tcPr>
          <w:p w:rsidR="002A615E" w:rsidRPr="00EB1DD8" w:rsidRDefault="002A615E" w:rsidP="002A615E">
            <w:pPr>
              <w:shd w:val="clear" w:color="auto" w:fill="FFFFFF"/>
              <w:spacing w:after="150" w:line="240" w:lineRule="auto"/>
              <w:ind w:firstLine="450"/>
              <w:jc w:val="both"/>
              <w:rPr>
                <w:rFonts w:ascii="Times New Roman" w:hAnsi="Times New Roman" w:cs="Times New Roman"/>
                <w:b/>
                <w:color w:val="000000"/>
                <w:sz w:val="24"/>
                <w:szCs w:val="24"/>
              </w:rPr>
            </w:pPr>
            <w:r w:rsidRPr="00EB1DD8">
              <w:rPr>
                <w:rFonts w:ascii="Times New Roman" w:eastAsia="Times New Roman" w:hAnsi="Times New Roman" w:cs="Times New Roman"/>
                <w:b/>
                <w:sz w:val="24"/>
                <w:szCs w:val="24"/>
                <w:lang w:eastAsia="uk-UA"/>
              </w:rPr>
              <w:lastRenderedPageBreak/>
              <w:t xml:space="preserve">Цей показник </w:t>
            </w:r>
            <w:r w:rsidR="002A74E3">
              <w:rPr>
                <w:rFonts w:ascii="Times New Roman" w:eastAsia="Times New Roman" w:hAnsi="Times New Roman" w:cs="Times New Roman"/>
                <w:b/>
                <w:sz w:val="24"/>
                <w:szCs w:val="24"/>
                <w:lang w:val="ru-RU" w:eastAsia="uk-UA"/>
              </w:rPr>
              <w:t>не ма</w:t>
            </w:r>
            <w:r w:rsidR="002A74E3" w:rsidRPr="00EB1DD8">
              <w:rPr>
                <w:rFonts w:ascii="Times New Roman" w:eastAsia="Times New Roman" w:hAnsi="Times New Roman" w:cs="Times New Roman"/>
                <w:b/>
                <w:sz w:val="24"/>
                <w:szCs w:val="24"/>
                <w:lang w:eastAsia="uk-UA"/>
              </w:rPr>
              <w:t>є за</w:t>
            </w:r>
            <w:r w:rsidR="002A74E3">
              <w:rPr>
                <w:rFonts w:ascii="Times New Roman" w:eastAsia="Times New Roman" w:hAnsi="Times New Roman" w:cs="Times New Roman"/>
                <w:b/>
                <w:sz w:val="24"/>
                <w:szCs w:val="24"/>
                <w:lang w:val="ru-RU" w:eastAsia="uk-UA"/>
              </w:rPr>
              <w:t>стосовуватися до</w:t>
            </w:r>
            <w:r w:rsidR="002A74E3" w:rsidRPr="00EB1DD8">
              <w:rPr>
                <w:rFonts w:ascii="Times New Roman" w:eastAsia="Times New Roman" w:hAnsi="Times New Roman" w:cs="Times New Roman"/>
                <w:b/>
                <w:sz w:val="24"/>
                <w:szCs w:val="24"/>
                <w:lang w:eastAsia="uk-UA"/>
              </w:rPr>
              <w:t xml:space="preserve"> </w:t>
            </w:r>
            <w:r w:rsidRPr="00EB1DD8">
              <w:rPr>
                <w:rFonts w:ascii="Times New Roman" w:eastAsia="Times New Roman" w:hAnsi="Times New Roman" w:cs="Times New Roman"/>
                <w:b/>
                <w:sz w:val="24"/>
                <w:szCs w:val="24"/>
                <w:lang w:eastAsia="uk-UA"/>
              </w:rPr>
              <w:t>КУА. Див. вище зауваження до пп. 5 п. 1 глави 1 цього розділу.</w:t>
            </w:r>
          </w:p>
        </w:tc>
        <w:tc>
          <w:tcPr>
            <w:tcW w:w="5405" w:type="dxa"/>
          </w:tcPr>
          <w:p w:rsidR="002A615E" w:rsidRPr="0085461E" w:rsidRDefault="0085461E" w:rsidP="0085461E">
            <w:pPr>
              <w:shd w:val="clear" w:color="auto" w:fill="FFFFFF"/>
              <w:spacing w:before="150" w:after="0" w:line="240" w:lineRule="auto"/>
              <w:ind w:left="450" w:right="450"/>
              <w:rPr>
                <w:rFonts w:ascii="Times New Roman" w:eastAsia="Times New Roman" w:hAnsi="Times New Roman" w:cs="Times New Roman"/>
                <w:b/>
                <w:bCs/>
                <w:sz w:val="24"/>
                <w:szCs w:val="24"/>
                <w:lang w:val="en-US" w:eastAsia="uk-UA"/>
              </w:rPr>
            </w:pPr>
            <w:r>
              <w:rPr>
                <w:rFonts w:ascii="Times New Roman" w:eastAsia="Times New Roman" w:hAnsi="Times New Roman" w:cs="Times New Roman"/>
                <w:b/>
                <w:bCs/>
                <w:sz w:val="24"/>
                <w:szCs w:val="24"/>
                <w:lang w:val="en-US" w:eastAsia="uk-UA"/>
              </w:rPr>
              <w:t>(видалити)</w:t>
            </w:r>
          </w:p>
        </w:tc>
      </w:tr>
      <w:tr w:rsidR="002A615E" w:rsidRPr="00EB1DD8" w:rsidTr="0018386F">
        <w:trPr>
          <w:trHeight w:val="554"/>
        </w:trPr>
        <w:tc>
          <w:tcPr>
            <w:tcW w:w="5527" w:type="dxa"/>
          </w:tcPr>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bCs/>
                <w:sz w:val="24"/>
                <w:szCs w:val="24"/>
                <w:lang w:eastAsia="uk-UA"/>
              </w:rPr>
              <w:t>X. Пруденційні нормативи, що використовуються для вимірювання та оцінки ризиків діяльності з адміністрування недержавних пенсійних фондів, їх розрахунок та нормативні значення</w:t>
            </w:r>
          </w:p>
          <w:p w:rsidR="002A615E" w:rsidRPr="00EB1DD8" w:rsidRDefault="002A615E" w:rsidP="002A615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1. Показники, що використовуються для вимірювання та оцінки ризиків діяльності з адміністрування недержавних пенсійних фондів</w:t>
            </w:r>
          </w:p>
          <w:p w:rsidR="002A615E" w:rsidRPr="00EB1DD8" w:rsidRDefault="002A615E" w:rsidP="002A615E">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1. Для вимірювання та оцінки ризиків діяльності з адміністрування недержавних пенсійних фондів використовуються такі показники: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1) розмір регулятивного капіталу;</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2</w:t>
            </w:r>
            <w:r w:rsidRPr="00EB1DD8">
              <w:rPr>
                <w:rFonts w:ascii="Times New Roman" w:eastAsia="Times New Roman" w:hAnsi="Times New Roman" w:cs="Times New Roman"/>
                <w:sz w:val="24"/>
                <w:szCs w:val="24"/>
                <w:lang w:eastAsia="uk-UA"/>
              </w:rPr>
              <w:t xml:space="preserve">)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3</w:t>
            </w:r>
            <w:r w:rsidRPr="00EB1DD8">
              <w:rPr>
                <w:rFonts w:ascii="Times New Roman" w:eastAsia="Times New Roman" w:hAnsi="Times New Roman" w:cs="Times New Roman"/>
                <w:sz w:val="24"/>
                <w:szCs w:val="24"/>
                <w:lang w:eastAsia="uk-UA"/>
              </w:rPr>
              <w:t>) коефіцієнт покриття операційного ризику;</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4) норматив концентрації кредитного ризику.</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t xml:space="preserve">2. Нормативні значення нормативу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та коефіцієнта покриття операційного ризику не поширюються на адміністраторів недержавних пенсійних фондів до закінчення першого повного фінансового року з дати видачі ліцензії в разі, якщо вони вперше отримали ліцензію на провадження діяльності з адміністрування недержавних пенсійних фондів.</w:t>
            </w:r>
          </w:p>
        </w:tc>
        <w:tc>
          <w:tcPr>
            <w:tcW w:w="4945" w:type="dxa"/>
          </w:tcPr>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hAnsi="Times New Roman" w:cs="Times New Roman"/>
                <w:b/>
                <w:color w:val="000000"/>
                <w:sz w:val="24"/>
                <w:szCs w:val="24"/>
              </w:rPr>
            </w:pPr>
            <w:r w:rsidRPr="00EB1DD8">
              <w:rPr>
                <w:rFonts w:ascii="Times New Roman" w:eastAsia="Times New Roman" w:hAnsi="Times New Roman" w:cs="Times New Roman"/>
                <w:b/>
                <w:sz w:val="24"/>
                <w:szCs w:val="24"/>
                <w:lang w:eastAsia="uk-UA"/>
              </w:rPr>
              <w:t xml:space="preserve">Цей показник є зайвим, необгрунтованим для АНПФ. </w:t>
            </w:r>
            <w:r w:rsidRPr="00EB1DD8">
              <w:rPr>
                <w:rFonts w:ascii="Times New Roman" w:hAnsi="Times New Roman" w:cs="Times New Roman"/>
                <w:b/>
                <w:sz w:val="24"/>
                <w:szCs w:val="24"/>
              </w:rPr>
              <w:t>У Положенні № 1597</w:t>
            </w:r>
            <w:r w:rsidRPr="00EB1DD8">
              <w:rPr>
                <w:rFonts w:ascii="Times New Roman" w:hAnsi="Times New Roman" w:cs="Times New Roman"/>
                <w:sz w:val="24"/>
                <w:szCs w:val="24"/>
              </w:rPr>
              <w:t xml:space="preserve"> </w:t>
            </w:r>
            <w:r w:rsidRPr="00EB1DD8">
              <w:rPr>
                <w:rFonts w:ascii="Times New Roman" w:hAnsi="Times New Roman" w:cs="Times New Roman"/>
                <w:b/>
                <w:sz w:val="24"/>
                <w:szCs w:val="24"/>
              </w:rPr>
              <w:t xml:space="preserve">вже є пруденційні показники для </w:t>
            </w:r>
            <w:r w:rsidRPr="00EB1DD8">
              <w:rPr>
                <w:rFonts w:ascii="Times New Roman" w:hAnsi="Times New Roman" w:cs="Times New Roman"/>
                <w:b/>
                <w:sz w:val="24"/>
                <w:szCs w:val="24"/>
              </w:rPr>
              <w:lastRenderedPageBreak/>
              <w:t>АНПФ, достатні для пруденційного нагляду за їхньою діяльністю, а саме: норматив достатності власних коштів</w:t>
            </w:r>
            <w:r w:rsidRPr="00EB1DD8">
              <w:rPr>
                <w:rFonts w:ascii="Times New Roman" w:hAnsi="Times New Roman" w:cs="Times New Roman"/>
                <w:sz w:val="24"/>
                <w:szCs w:val="24"/>
              </w:rPr>
              <w:t xml:space="preserve"> </w:t>
            </w:r>
            <w:r w:rsidRPr="00EB1DD8">
              <w:rPr>
                <w:rFonts w:ascii="Times New Roman" w:hAnsi="Times New Roman" w:cs="Times New Roman"/>
                <w:b/>
                <w:sz w:val="24"/>
                <w:szCs w:val="24"/>
              </w:rPr>
              <w:t>та</w:t>
            </w:r>
            <w:r w:rsidRPr="00EB1DD8">
              <w:rPr>
                <w:rFonts w:ascii="Times New Roman" w:hAnsi="Times New Roman" w:cs="Times New Roman"/>
                <w:sz w:val="24"/>
                <w:szCs w:val="24"/>
              </w:rPr>
              <w:t xml:space="preserve"> </w:t>
            </w:r>
            <w:r w:rsidRPr="00EB1DD8">
              <w:rPr>
                <w:rFonts w:ascii="Times New Roman" w:hAnsi="Times New Roman" w:cs="Times New Roman"/>
                <w:b/>
                <w:bCs/>
                <w:sz w:val="24"/>
                <w:szCs w:val="24"/>
                <w:lang w:eastAsia="uk-UA"/>
              </w:rPr>
              <w:t xml:space="preserve">коефіцієнт </w:t>
            </w:r>
            <w:r w:rsidRPr="00EB1DD8">
              <w:rPr>
                <w:rFonts w:ascii="Times New Roman" w:hAnsi="Times New Roman" w:cs="Times New Roman"/>
                <w:b/>
                <w:sz w:val="24"/>
                <w:szCs w:val="24"/>
                <w:lang w:eastAsia="uk-UA"/>
              </w:rPr>
              <w:t xml:space="preserve">покриття операційного ризику. </w:t>
            </w:r>
            <w:r w:rsidRPr="00EB1DD8">
              <w:rPr>
                <w:rFonts w:ascii="Times New Roman" w:hAnsi="Times New Roman" w:cs="Times New Roman"/>
                <w:b/>
                <w:color w:val="000000"/>
                <w:sz w:val="24"/>
                <w:szCs w:val="24"/>
              </w:rPr>
              <w:t xml:space="preserve">Застосування вимог Регламентів ЄС чи інших документів, які регламентують діяльність банків та кредитних установ (зокрема, </w:t>
            </w:r>
            <w:r w:rsidR="00286DB1" w:rsidRPr="00EB1DD8">
              <w:rPr>
                <w:rFonts w:ascii="Times New Roman" w:hAnsi="Times New Roman" w:cs="Times New Roman"/>
                <w:b/>
                <w:color w:val="000000"/>
                <w:sz w:val="24"/>
                <w:szCs w:val="24"/>
              </w:rPr>
              <w:t xml:space="preserve">пакету </w:t>
            </w:r>
            <w:r w:rsidRPr="00EB1DD8">
              <w:rPr>
                <w:rFonts w:ascii="Times New Roman" w:hAnsi="Times New Roman" w:cs="Times New Roman"/>
                <w:b/>
                <w:color w:val="000000"/>
                <w:sz w:val="24"/>
                <w:szCs w:val="24"/>
              </w:rPr>
              <w:t xml:space="preserve">CRD </w:t>
            </w:r>
            <w:r w:rsidRPr="00EB1DD8">
              <w:rPr>
                <w:rFonts w:ascii="Times New Roman" w:hAnsi="Times New Roman" w:cs="Times New Roman"/>
                <w:b/>
                <w:color w:val="000000"/>
                <w:sz w:val="24"/>
                <w:szCs w:val="24"/>
                <w:lang w:val="en-US"/>
              </w:rPr>
              <w:t>IV</w:t>
            </w:r>
            <w:r w:rsidRPr="00EB1DD8">
              <w:rPr>
                <w:rFonts w:ascii="Times New Roman" w:hAnsi="Times New Roman" w:cs="Times New Roman"/>
                <w:b/>
                <w:color w:val="000000"/>
                <w:sz w:val="24"/>
                <w:szCs w:val="24"/>
              </w:rPr>
              <w:t xml:space="preserve">), що виходять за межі окремих статей, на які </w:t>
            </w:r>
            <w:r w:rsidRPr="00EB1DD8">
              <w:rPr>
                <w:rFonts w:ascii="Times New Roman" w:hAnsi="Times New Roman" w:cs="Times New Roman"/>
                <w:b/>
                <w:bCs/>
                <w:sz w:val="24"/>
                <w:szCs w:val="24"/>
                <w:lang w:eastAsia="uk-UA"/>
              </w:rPr>
              <w:t>посилаються</w:t>
            </w:r>
            <w:r w:rsidRPr="00EB1DD8">
              <w:rPr>
                <w:rFonts w:ascii="Times New Roman" w:hAnsi="Times New Roman" w:cs="Times New Roman"/>
                <w:b/>
                <w:color w:val="000000"/>
                <w:sz w:val="24"/>
                <w:szCs w:val="24"/>
              </w:rPr>
              <w:t xml:space="preserve"> спеціальні Директиви, що регламентують діяльність з управління активами та адміністрування інвестиційних і пенсійних фондів, і понад уже запроваджені чи запропоновані інші додаткові нормативи (у цьому випадку – </w:t>
            </w:r>
            <w:r w:rsidRPr="00EB1DD8">
              <w:rPr>
                <w:rFonts w:ascii="Times New Roman" w:hAnsi="Times New Roman" w:cs="Times New Roman"/>
                <w:b/>
                <w:bCs/>
                <w:sz w:val="24"/>
                <w:szCs w:val="24"/>
                <w:lang w:eastAsia="uk-UA"/>
              </w:rPr>
              <w:t xml:space="preserve">коефіцієнт </w:t>
            </w:r>
            <w:r w:rsidRPr="00EB1DD8">
              <w:rPr>
                <w:rFonts w:ascii="Times New Roman" w:hAnsi="Times New Roman" w:cs="Times New Roman"/>
                <w:b/>
                <w:sz w:val="24"/>
                <w:szCs w:val="24"/>
                <w:lang w:eastAsia="uk-UA"/>
              </w:rPr>
              <w:t>покриття операційного ризику</w:t>
            </w:r>
            <w:r w:rsidRPr="00EB1DD8">
              <w:rPr>
                <w:rFonts w:ascii="Times New Roman" w:hAnsi="Times New Roman" w:cs="Times New Roman"/>
                <w:b/>
                <w:bCs/>
                <w:sz w:val="24"/>
                <w:szCs w:val="24"/>
                <w:lang w:eastAsia="uk-UA"/>
              </w:rPr>
              <w:t xml:space="preserve"> та </w:t>
            </w:r>
            <w:r w:rsidRPr="00EB1DD8">
              <w:rPr>
                <w:rFonts w:ascii="Times New Roman" w:hAnsi="Times New Roman" w:cs="Times New Roman"/>
                <w:b/>
                <w:color w:val="000000"/>
                <w:sz w:val="24"/>
                <w:szCs w:val="24"/>
              </w:rPr>
              <w:t xml:space="preserve">розмір </w:t>
            </w:r>
            <w:r w:rsidRPr="00EB1DD8">
              <w:rPr>
                <w:rFonts w:ascii="Times New Roman" w:eastAsia="Times New Roman" w:hAnsi="Times New Roman" w:cs="Times New Roman"/>
                <w:b/>
                <w:sz w:val="24"/>
                <w:szCs w:val="24"/>
                <w:lang w:eastAsia="uk-UA"/>
              </w:rPr>
              <w:t>регулятивного капіталу відповідно</w:t>
            </w:r>
            <w:r w:rsidRPr="00EB1DD8">
              <w:rPr>
                <w:rFonts w:ascii="Times New Roman" w:hAnsi="Times New Roman" w:cs="Times New Roman"/>
                <w:b/>
                <w:color w:val="000000"/>
                <w:sz w:val="24"/>
                <w:szCs w:val="24"/>
              </w:rPr>
              <w:t>), є некоректним і недоцільним, адже діяльність КУА принципово відрізняється від діяльності банків та інвестиційних фірм, зокрема, тим, що перші мають окремий баланс від фондів в управлінні та не відповідають за фінансовими зобов’язаннями цих фондів.</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hAnsi="Times New Roman" w:cs="Times New Roman"/>
                <w:b/>
                <w:color w:val="000000"/>
                <w:sz w:val="24"/>
                <w:szCs w:val="24"/>
              </w:rPr>
              <w:t xml:space="preserve">Крім того, воно загрожує нормальному функціонуванню ринку, особливо в нинішніх кризових умовах. </w:t>
            </w:r>
            <w:r w:rsidRPr="00EB1DD8">
              <w:rPr>
                <w:rFonts w:ascii="Times New Roman" w:hAnsi="Times New Roman" w:cs="Times New Roman"/>
                <w:b/>
                <w:sz w:val="24"/>
                <w:szCs w:val="24"/>
              </w:rPr>
              <w:t xml:space="preserve">Розрахунок і контроль показників тих чи інших видів ризику має визначатися специфікою бізнесу і складом активів конкретного профучасника, його стратегією та політиками управління ризиками, </w:t>
            </w:r>
            <w:r w:rsidRPr="00EB1DD8">
              <w:rPr>
                <w:rFonts w:ascii="Times New Roman" w:hAnsi="Times New Roman" w:cs="Times New Roman"/>
                <w:b/>
                <w:color w:val="000000"/>
                <w:sz w:val="24"/>
                <w:szCs w:val="24"/>
              </w:rPr>
              <w:t xml:space="preserve">виходячи з того, які ризики є суттєвими для </w:t>
            </w:r>
            <w:r w:rsidRPr="00EB1DD8">
              <w:rPr>
                <w:rFonts w:ascii="Times New Roman" w:hAnsi="Times New Roman" w:cs="Times New Roman"/>
                <w:b/>
                <w:color w:val="000000"/>
                <w:sz w:val="24"/>
                <w:szCs w:val="24"/>
              </w:rPr>
              <w:lastRenderedPageBreak/>
              <w:t>нього. Про це йде мова у тому числі і в законодавстві ЄС.</w:t>
            </w:r>
          </w:p>
        </w:tc>
        <w:tc>
          <w:tcPr>
            <w:tcW w:w="5405" w:type="dxa"/>
          </w:tcPr>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bCs/>
                <w:sz w:val="24"/>
                <w:szCs w:val="24"/>
                <w:lang w:eastAsia="uk-UA"/>
              </w:rPr>
              <w:lastRenderedPageBreak/>
              <w:t>X. Пруденційні нормативи, що використовуються для вимірювання та оцінки ризиків діяльності з адміністрування недержавних пенсійних фондів, їх розрахунок та нормативні значення</w:t>
            </w:r>
          </w:p>
          <w:p w:rsidR="002A615E" w:rsidRPr="00EB1DD8" w:rsidRDefault="002A615E" w:rsidP="002A615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1. Показники, що використовуються для вимірювання та оцінки ризиків діяльності з адміністрування недержавних пенсійних фондів</w:t>
            </w:r>
          </w:p>
          <w:p w:rsidR="002A615E" w:rsidRPr="00EB1DD8" w:rsidRDefault="002A615E" w:rsidP="002A615E">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1. Для вимірювання та оцінки ризиків діяльності з адміністрування недержавних пенсійних фондів використовуються такі показники: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1) розмір регулятивного капіталу;</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2</w:t>
            </w:r>
            <w:r w:rsidRPr="00EB1DD8">
              <w:rPr>
                <w:rFonts w:ascii="Times New Roman" w:eastAsia="Times New Roman" w:hAnsi="Times New Roman" w:cs="Times New Roman"/>
                <w:sz w:val="24"/>
                <w:szCs w:val="24"/>
                <w:lang w:eastAsia="uk-UA"/>
              </w:rPr>
              <w:t xml:space="preserve">)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3</w:t>
            </w:r>
            <w:r w:rsidRPr="00EB1DD8">
              <w:rPr>
                <w:rFonts w:ascii="Times New Roman" w:eastAsia="Times New Roman" w:hAnsi="Times New Roman" w:cs="Times New Roman"/>
                <w:sz w:val="24"/>
                <w:szCs w:val="24"/>
                <w:lang w:eastAsia="uk-UA"/>
              </w:rPr>
              <w:t>) коефіцієнт покриття операційного ризику;</w:t>
            </w:r>
          </w:p>
          <w:p w:rsidR="002A615E" w:rsidRPr="00EB1DD8" w:rsidRDefault="0085461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2A74E3">
              <w:rPr>
                <w:rFonts w:ascii="Times New Roman" w:eastAsia="Times New Roman" w:hAnsi="Times New Roman" w:cs="Times New Roman"/>
                <w:b/>
                <w:bCs/>
                <w:sz w:val="24"/>
                <w:szCs w:val="24"/>
                <w:lang w:val="ru-RU" w:eastAsia="uk-UA"/>
              </w:rPr>
              <w:t>(видалити)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t xml:space="preserve">2. Нормативні значення нормативу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та коефіцієнта покриття операційного ризику не поширюються на адміністраторів недержавних пенсійних фондів до закінчення першого повного фінансового року з дати видачі ліцензії в разі, якщо вони вперше отримали ліцензію на провадження діяльності з адміністрування недержавних пенсійних фондів.</w:t>
            </w:r>
          </w:p>
        </w:tc>
      </w:tr>
      <w:tr w:rsidR="00CC2C3A" w:rsidRPr="00A5622F" w:rsidTr="0018386F">
        <w:trPr>
          <w:trHeight w:val="554"/>
        </w:trPr>
        <w:tc>
          <w:tcPr>
            <w:tcW w:w="5527" w:type="dxa"/>
          </w:tcPr>
          <w:p w:rsidR="00CC2C3A" w:rsidRPr="00EB1DD8" w:rsidRDefault="00CC2C3A" w:rsidP="00CC2C3A">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5. Норматив концентрації кредитного ризику</w:t>
            </w:r>
          </w:p>
          <w:p w:rsidR="00CC2C3A" w:rsidRPr="00EB1DD8" w:rsidRDefault="00CC2C3A" w:rsidP="00CC2C3A">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1. Норматив концентрації кредитного ризику встановлює обмеження кредитного ризику адміністратора недержавних пенсійних фондів, що може виникнути внаслідок невиконання своїх зобов’язань окремим його контрагентом.</w:t>
            </w: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2. Норматив концентрації кредитного ризику розраховується в порядку, передбаченому </w:t>
            </w:r>
            <w:hyperlink r:id="rId14" w:anchor="n72" w:history="1">
              <w:r w:rsidRPr="00EB1DD8">
                <w:rPr>
                  <w:rFonts w:ascii="Times New Roman" w:eastAsia="Times New Roman" w:hAnsi="Times New Roman" w:cs="Times New Roman"/>
                  <w:b/>
                  <w:sz w:val="24"/>
                  <w:szCs w:val="24"/>
                  <w:lang w:eastAsia="uk-UA"/>
                </w:rPr>
                <w:t>главою 7</w:t>
              </w:r>
            </w:hyperlink>
            <w:r w:rsidRPr="00EB1DD8">
              <w:rPr>
                <w:rFonts w:ascii="Times New Roman" w:eastAsia="Times New Roman" w:hAnsi="Times New Roman" w:cs="Times New Roman"/>
                <w:b/>
                <w:sz w:val="24"/>
                <w:szCs w:val="24"/>
                <w:lang w:eastAsia="uk-UA"/>
              </w:rPr>
              <w:t xml:space="preserve"> розділу ІІ цього Положення.</w:t>
            </w: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3. Нормативне значення нормативу концентрації кредитного ризику щодо окремого контрагента, крім банків та інвестиційних фірм, становить не більше 25%. При цьому значення нормативу концентрації кредитного ризику щодо окремого контрагента не має бути від’ємним.</w:t>
            </w: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sz w:val="24"/>
                <w:szCs w:val="24"/>
                <w:lang w:eastAsia="uk-UA"/>
              </w:rPr>
              <w:lastRenderedPageBreak/>
              <w:t>4. Нормативне значення нормативу концентрації кредитного ризику щодо окремого контрагента, що є банком або інвестиційною фірмою, становить не більше 100%. При цьому значення нормативу концентрації кредитного ризику щодо окремого контрагента не має бути від’ємним.</w:t>
            </w:r>
          </w:p>
        </w:tc>
        <w:tc>
          <w:tcPr>
            <w:tcW w:w="4945" w:type="dxa"/>
          </w:tcPr>
          <w:p w:rsidR="00CC2C3A" w:rsidRPr="00EB1DD8" w:rsidRDefault="00CC2C3A" w:rsidP="00CC2C3A">
            <w:pPr>
              <w:shd w:val="clear" w:color="auto" w:fill="FFFFFF"/>
              <w:spacing w:before="150" w:after="0" w:line="240" w:lineRule="auto"/>
              <w:ind w:right="15" w:firstLine="459"/>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sz w:val="24"/>
                <w:szCs w:val="24"/>
                <w:lang w:eastAsia="uk-UA"/>
              </w:rPr>
              <w:lastRenderedPageBreak/>
              <w:t xml:space="preserve">Цей показник </w:t>
            </w:r>
            <w:r w:rsidR="002A74E3">
              <w:rPr>
                <w:rFonts w:ascii="Times New Roman" w:eastAsia="Times New Roman" w:hAnsi="Times New Roman" w:cs="Times New Roman"/>
                <w:b/>
                <w:sz w:val="24"/>
                <w:szCs w:val="24"/>
                <w:lang w:val="ru-RU" w:eastAsia="uk-UA"/>
              </w:rPr>
              <w:t>не ма</w:t>
            </w:r>
            <w:r w:rsidR="002A74E3" w:rsidRPr="00EB1DD8">
              <w:rPr>
                <w:rFonts w:ascii="Times New Roman" w:eastAsia="Times New Roman" w:hAnsi="Times New Roman" w:cs="Times New Roman"/>
                <w:b/>
                <w:sz w:val="24"/>
                <w:szCs w:val="24"/>
                <w:lang w:eastAsia="uk-UA"/>
              </w:rPr>
              <w:t>є за</w:t>
            </w:r>
            <w:r w:rsidR="002A74E3">
              <w:rPr>
                <w:rFonts w:ascii="Times New Roman" w:eastAsia="Times New Roman" w:hAnsi="Times New Roman" w:cs="Times New Roman"/>
                <w:b/>
                <w:sz w:val="24"/>
                <w:szCs w:val="24"/>
                <w:lang w:val="ru-RU" w:eastAsia="uk-UA"/>
              </w:rPr>
              <w:t>стосовуватися до</w:t>
            </w:r>
            <w:r w:rsidR="002A74E3" w:rsidRPr="00EB1DD8">
              <w:rPr>
                <w:rFonts w:ascii="Times New Roman" w:eastAsia="Times New Roman" w:hAnsi="Times New Roman" w:cs="Times New Roman"/>
                <w:b/>
                <w:sz w:val="24"/>
                <w:szCs w:val="24"/>
                <w:lang w:eastAsia="uk-UA"/>
              </w:rPr>
              <w:t xml:space="preserve"> </w:t>
            </w:r>
            <w:r w:rsidRPr="00EB1DD8">
              <w:rPr>
                <w:rFonts w:ascii="Times New Roman" w:eastAsia="Times New Roman" w:hAnsi="Times New Roman" w:cs="Times New Roman"/>
                <w:b/>
                <w:sz w:val="24"/>
                <w:szCs w:val="24"/>
                <w:lang w:eastAsia="uk-UA"/>
              </w:rPr>
              <w:t>АНПФ. Див. вище зауваження до пп.4 п.1 глави 1 цього розділу.</w:t>
            </w:r>
          </w:p>
        </w:tc>
        <w:tc>
          <w:tcPr>
            <w:tcW w:w="5405" w:type="dxa"/>
          </w:tcPr>
          <w:p w:rsidR="00CC2C3A" w:rsidRPr="00EB1DD8" w:rsidRDefault="0085461E" w:rsidP="0085461E">
            <w:pPr>
              <w:shd w:val="clear" w:color="auto" w:fill="FFFFFF"/>
              <w:spacing w:before="150" w:after="0" w:line="240" w:lineRule="auto"/>
              <w:ind w:left="450" w:right="450"/>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val="en-US" w:eastAsia="uk-UA"/>
              </w:rPr>
              <w:t>(видалити)</w:t>
            </w:r>
          </w:p>
        </w:tc>
      </w:tr>
    </w:tbl>
    <w:p w:rsidR="006B6187" w:rsidRPr="00A5622F" w:rsidRDefault="006B6187"/>
    <w:sectPr w:rsidR="006B6187" w:rsidRPr="00A5622F" w:rsidSect="00B60699">
      <w:footerReference w:type="default" r:id="rId15"/>
      <w:pgSz w:w="16838" w:h="11906" w:orient="landscape"/>
      <w:pgMar w:top="1135" w:right="850" w:bottom="850" w:left="850"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265" w:rsidRDefault="00523265" w:rsidP="0001730A">
      <w:pPr>
        <w:spacing w:after="0" w:line="240" w:lineRule="auto"/>
      </w:pPr>
      <w:r>
        <w:separator/>
      </w:r>
    </w:p>
  </w:endnote>
  <w:endnote w:type="continuationSeparator" w:id="0">
    <w:p w:rsidR="00523265" w:rsidRDefault="00523265" w:rsidP="0001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200734"/>
      <w:docPartObj>
        <w:docPartGallery w:val="Page Numbers (Bottom of Page)"/>
        <w:docPartUnique/>
      </w:docPartObj>
    </w:sdtPr>
    <w:sdtEndPr/>
    <w:sdtContent>
      <w:p w:rsidR="00816D64" w:rsidRDefault="00816D64">
        <w:pPr>
          <w:pStyle w:val="ac"/>
          <w:jc w:val="center"/>
        </w:pPr>
        <w:r>
          <w:fldChar w:fldCharType="begin"/>
        </w:r>
        <w:r>
          <w:instrText>PAGE   \* MERGEFORMAT</w:instrText>
        </w:r>
        <w:r>
          <w:fldChar w:fldCharType="separate"/>
        </w:r>
        <w:r w:rsidR="002A74E3">
          <w:t>3</w:t>
        </w:r>
        <w:r>
          <w:fldChar w:fldCharType="end"/>
        </w:r>
      </w:p>
    </w:sdtContent>
  </w:sdt>
  <w:p w:rsidR="00816D64" w:rsidRDefault="00816D6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265" w:rsidRDefault="00523265" w:rsidP="0001730A">
      <w:pPr>
        <w:spacing w:after="0" w:line="240" w:lineRule="auto"/>
      </w:pPr>
      <w:r>
        <w:separator/>
      </w:r>
    </w:p>
  </w:footnote>
  <w:footnote w:type="continuationSeparator" w:id="0">
    <w:p w:rsidR="00523265" w:rsidRDefault="00523265" w:rsidP="000173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97BE8"/>
    <w:multiLevelType w:val="hybridMultilevel"/>
    <w:tmpl w:val="22A6C512"/>
    <w:lvl w:ilvl="0" w:tplc="7A06A144">
      <w:start w:val="1"/>
      <w:numFmt w:val="decimal"/>
      <w:lvlText w:val="%1."/>
      <w:lvlJc w:val="left"/>
      <w:pPr>
        <w:ind w:left="810" w:hanging="360"/>
      </w:pPr>
      <w:rPr>
        <w:rFonts w:eastAsia="Times New Roman" w:hint="default"/>
        <w:color w:val="00000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20"/>
    <w:rsid w:val="0000079D"/>
    <w:rsid w:val="0000729F"/>
    <w:rsid w:val="000148BC"/>
    <w:rsid w:val="00014F86"/>
    <w:rsid w:val="0001730A"/>
    <w:rsid w:val="000220C2"/>
    <w:rsid w:val="00023845"/>
    <w:rsid w:val="00025567"/>
    <w:rsid w:val="000274CD"/>
    <w:rsid w:val="000410D0"/>
    <w:rsid w:val="00055DC9"/>
    <w:rsid w:val="00064277"/>
    <w:rsid w:val="00064494"/>
    <w:rsid w:val="00066396"/>
    <w:rsid w:val="00070CF3"/>
    <w:rsid w:val="00074605"/>
    <w:rsid w:val="00076D33"/>
    <w:rsid w:val="00082498"/>
    <w:rsid w:val="00082DF9"/>
    <w:rsid w:val="00097CE9"/>
    <w:rsid w:val="000A1F5B"/>
    <w:rsid w:val="000A26AF"/>
    <w:rsid w:val="000A3B80"/>
    <w:rsid w:val="000A3F57"/>
    <w:rsid w:val="000A49E6"/>
    <w:rsid w:val="000A4FFE"/>
    <w:rsid w:val="000C0826"/>
    <w:rsid w:val="000C478D"/>
    <w:rsid w:val="000C577A"/>
    <w:rsid w:val="000C6422"/>
    <w:rsid w:val="000D3BBE"/>
    <w:rsid w:val="000D3FDC"/>
    <w:rsid w:val="000D5F95"/>
    <w:rsid w:val="000E0615"/>
    <w:rsid w:val="000E3BC3"/>
    <w:rsid w:val="000E667C"/>
    <w:rsid w:val="000F01CF"/>
    <w:rsid w:val="000F345E"/>
    <w:rsid w:val="000F7DF2"/>
    <w:rsid w:val="001059AB"/>
    <w:rsid w:val="00114B61"/>
    <w:rsid w:val="00115FB3"/>
    <w:rsid w:val="001210CC"/>
    <w:rsid w:val="00127A09"/>
    <w:rsid w:val="001321C3"/>
    <w:rsid w:val="001323B1"/>
    <w:rsid w:val="001336A1"/>
    <w:rsid w:val="001477A4"/>
    <w:rsid w:val="00150FDE"/>
    <w:rsid w:val="00155D4B"/>
    <w:rsid w:val="00156533"/>
    <w:rsid w:val="001647A3"/>
    <w:rsid w:val="00177F70"/>
    <w:rsid w:val="00181A52"/>
    <w:rsid w:val="001820D9"/>
    <w:rsid w:val="00182544"/>
    <w:rsid w:val="0018386F"/>
    <w:rsid w:val="00190329"/>
    <w:rsid w:val="001A1ED8"/>
    <w:rsid w:val="001A33D5"/>
    <w:rsid w:val="001A530C"/>
    <w:rsid w:val="001A5E38"/>
    <w:rsid w:val="001A7BA1"/>
    <w:rsid w:val="001B10B0"/>
    <w:rsid w:val="001C3301"/>
    <w:rsid w:val="001D36EB"/>
    <w:rsid w:val="001E0A9B"/>
    <w:rsid w:val="001E10A5"/>
    <w:rsid w:val="001E10D1"/>
    <w:rsid w:val="001E61B6"/>
    <w:rsid w:val="001F0AB4"/>
    <w:rsid w:val="001F1BB0"/>
    <w:rsid w:val="001F3FFD"/>
    <w:rsid w:val="001F6719"/>
    <w:rsid w:val="00200A68"/>
    <w:rsid w:val="00210C0C"/>
    <w:rsid w:val="002153EB"/>
    <w:rsid w:val="00221138"/>
    <w:rsid w:val="0022141B"/>
    <w:rsid w:val="00225CF3"/>
    <w:rsid w:val="002278A2"/>
    <w:rsid w:val="00247C3D"/>
    <w:rsid w:val="0025664E"/>
    <w:rsid w:val="002674DC"/>
    <w:rsid w:val="00271FA0"/>
    <w:rsid w:val="00272975"/>
    <w:rsid w:val="002805BA"/>
    <w:rsid w:val="00286DB1"/>
    <w:rsid w:val="002939E8"/>
    <w:rsid w:val="002A10A7"/>
    <w:rsid w:val="002A5F2B"/>
    <w:rsid w:val="002A615E"/>
    <w:rsid w:val="002A7214"/>
    <w:rsid w:val="002A74E3"/>
    <w:rsid w:val="002B2C00"/>
    <w:rsid w:val="002B4379"/>
    <w:rsid w:val="002C05D1"/>
    <w:rsid w:val="002C1787"/>
    <w:rsid w:val="002C4830"/>
    <w:rsid w:val="002C66CD"/>
    <w:rsid w:val="002C77DA"/>
    <w:rsid w:val="002D4723"/>
    <w:rsid w:val="002D5C1B"/>
    <w:rsid w:val="002D7521"/>
    <w:rsid w:val="002E00C7"/>
    <w:rsid w:val="002F2449"/>
    <w:rsid w:val="002F7285"/>
    <w:rsid w:val="00305E53"/>
    <w:rsid w:val="003123B1"/>
    <w:rsid w:val="00312F7F"/>
    <w:rsid w:val="0033058C"/>
    <w:rsid w:val="00331193"/>
    <w:rsid w:val="00332A05"/>
    <w:rsid w:val="00334704"/>
    <w:rsid w:val="003519FC"/>
    <w:rsid w:val="0035222A"/>
    <w:rsid w:val="003525E3"/>
    <w:rsid w:val="00352CB8"/>
    <w:rsid w:val="003551AA"/>
    <w:rsid w:val="00363A3A"/>
    <w:rsid w:val="00363F30"/>
    <w:rsid w:val="00374D91"/>
    <w:rsid w:val="003750DE"/>
    <w:rsid w:val="00381590"/>
    <w:rsid w:val="00385324"/>
    <w:rsid w:val="003A0F75"/>
    <w:rsid w:val="003A122D"/>
    <w:rsid w:val="003A21DB"/>
    <w:rsid w:val="003B07A6"/>
    <w:rsid w:val="003B4C34"/>
    <w:rsid w:val="003B5C4B"/>
    <w:rsid w:val="003C406D"/>
    <w:rsid w:val="003C69FB"/>
    <w:rsid w:val="003D139D"/>
    <w:rsid w:val="003D483D"/>
    <w:rsid w:val="003E6892"/>
    <w:rsid w:val="003F1D3E"/>
    <w:rsid w:val="003F5460"/>
    <w:rsid w:val="003F5DFC"/>
    <w:rsid w:val="00401429"/>
    <w:rsid w:val="00410E66"/>
    <w:rsid w:val="00435350"/>
    <w:rsid w:val="00435895"/>
    <w:rsid w:val="004373A5"/>
    <w:rsid w:val="00460A1D"/>
    <w:rsid w:val="00470439"/>
    <w:rsid w:val="004756ED"/>
    <w:rsid w:val="00482729"/>
    <w:rsid w:val="004878B6"/>
    <w:rsid w:val="00491A64"/>
    <w:rsid w:val="004920E7"/>
    <w:rsid w:val="00492C73"/>
    <w:rsid w:val="004959B2"/>
    <w:rsid w:val="004A6B37"/>
    <w:rsid w:val="004D70A9"/>
    <w:rsid w:val="004E14C0"/>
    <w:rsid w:val="004E5660"/>
    <w:rsid w:val="004E6E30"/>
    <w:rsid w:val="004F3739"/>
    <w:rsid w:val="004F78D3"/>
    <w:rsid w:val="00523265"/>
    <w:rsid w:val="00530236"/>
    <w:rsid w:val="00532095"/>
    <w:rsid w:val="0053738B"/>
    <w:rsid w:val="00547A23"/>
    <w:rsid w:val="00555B5A"/>
    <w:rsid w:val="00556DC9"/>
    <w:rsid w:val="00570F08"/>
    <w:rsid w:val="0057320E"/>
    <w:rsid w:val="00575C6D"/>
    <w:rsid w:val="005772E1"/>
    <w:rsid w:val="00583A31"/>
    <w:rsid w:val="005874F5"/>
    <w:rsid w:val="005909A5"/>
    <w:rsid w:val="00590EA6"/>
    <w:rsid w:val="005A6EDF"/>
    <w:rsid w:val="005B60C1"/>
    <w:rsid w:val="005B6F3C"/>
    <w:rsid w:val="005C09DD"/>
    <w:rsid w:val="005C65D4"/>
    <w:rsid w:val="005D4282"/>
    <w:rsid w:val="005D4657"/>
    <w:rsid w:val="005D4721"/>
    <w:rsid w:val="005E2D4E"/>
    <w:rsid w:val="005E6F12"/>
    <w:rsid w:val="00605EE9"/>
    <w:rsid w:val="00613C99"/>
    <w:rsid w:val="006352E0"/>
    <w:rsid w:val="0064481F"/>
    <w:rsid w:val="00645A27"/>
    <w:rsid w:val="006504B5"/>
    <w:rsid w:val="00652F66"/>
    <w:rsid w:val="00662172"/>
    <w:rsid w:val="0067129E"/>
    <w:rsid w:val="006737D4"/>
    <w:rsid w:val="00682AA6"/>
    <w:rsid w:val="00687B50"/>
    <w:rsid w:val="00692807"/>
    <w:rsid w:val="00692E4D"/>
    <w:rsid w:val="00693C80"/>
    <w:rsid w:val="006A3A34"/>
    <w:rsid w:val="006B021D"/>
    <w:rsid w:val="006B6187"/>
    <w:rsid w:val="006C0E87"/>
    <w:rsid w:val="006C544D"/>
    <w:rsid w:val="006C6B33"/>
    <w:rsid w:val="006D131A"/>
    <w:rsid w:val="006D4AA2"/>
    <w:rsid w:val="006F5476"/>
    <w:rsid w:val="006F5C20"/>
    <w:rsid w:val="006F5F7F"/>
    <w:rsid w:val="00700161"/>
    <w:rsid w:val="007007B2"/>
    <w:rsid w:val="007178A2"/>
    <w:rsid w:val="007265D2"/>
    <w:rsid w:val="007309EF"/>
    <w:rsid w:val="00737E10"/>
    <w:rsid w:val="00742A5C"/>
    <w:rsid w:val="007452C4"/>
    <w:rsid w:val="00745693"/>
    <w:rsid w:val="007523D8"/>
    <w:rsid w:val="007532A1"/>
    <w:rsid w:val="0075573B"/>
    <w:rsid w:val="00756F32"/>
    <w:rsid w:val="00780CBA"/>
    <w:rsid w:val="0078394E"/>
    <w:rsid w:val="007961A7"/>
    <w:rsid w:val="00797CB5"/>
    <w:rsid w:val="007A553C"/>
    <w:rsid w:val="007B3097"/>
    <w:rsid w:val="007C438E"/>
    <w:rsid w:val="007C59E4"/>
    <w:rsid w:val="007D1301"/>
    <w:rsid w:val="007F1B9A"/>
    <w:rsid w:val="00801A8E"/>
    <w:rsid w:val="00801B31"/>
    <w:rsid w:val="00801D8B"/>
    <w:rsid w:val="00804AFF"/>
    <w:rsid w:val="008053A2"/>
    <w:rsid w:val="00806EE3"/>
    <w:rsid w:val="00814B10"/>
    <w:rsid w:val="00815F6F"/>
    <w:rsid w:val="00816D64"/>
    <w:rsid w:val="00825999"/>
    <w:rsid w:val="00827919"/>
    <w:rsid w:val="0083793D"/>
    <w:rsid w:val="00845BF7"/>
    <w:rsid w:val="00845C4B"/>
    <w:rsid w:val="00847D6B"/>
    <w:rsid w:val="0085461E"/>
    <w:rsid w:val="008574CA"/>
    <w:rsid w:val="00873B3A"/>
    <w:rsid w:val="00892B3B"/>
    <w:rsid w:val="00893122"/>
    <w:rsid w:val="008A1C27"/>
    <w:rsid w:val="008A3A33"/>
    <w:rsid w:val="008A5B33"/>
    <w:rsid w:val="008C5C61"/>
    <w:rsid w:val="008D0CB0"/>
    <w:rsid w:val="008E4737"/>
    <w:rsid w:val="008E544E"/>
    <w:rsid w:val="008E548C"/>
    <w:rsid w:val="008E58EE"/>
    <w:rsid w:val="008E64FB"/>
    <w:rsid w:val="008F77CB"/>
    <w:rsid w:val="008F7CFC"/>
    <w:rsid w:val="009055B2"/>
    <w:rsid w:val="00915373"/>
    <w:rsid w:val="00921BC7"/>
    <w:rsid w:val="0093373C"/>
    <w:rsid w:val="00935C58"/>
    <w:rsid w:val="00937A05"/>
    <w:rsid w:val="009471E5"/>
    <w:rsid w:val="009555B7"/>
    <w:rsid w:val="009566F0"/>
    <w:rsid w:val="009618A6"/>
    <w:rsid w:val="009635D9"/>
    <w:rsid w:val="00967A12"/>
    <w:rsid w:val="00974A5F"/>
    <w:rsid w:val="0098688E"/>
    <w:rsid w:val="009976A6"/>
    <w:rsid w:val="009B363B"/>
    <w:rsid w:val="009B6911"/>
    <w:rsid w:val="009C0B40"/>
    <w:rsid w:val="009C1C81"/>
    <w:rsid w:val="009F6499"/>
    <w:rsid w:val="00A0490E"/>
    <w:rsid w:val="00A07EDD"/>
    <w:rsid w:val="00A15C76"/>
    <w:rsid w:val="00A16E5E"/>
    <w:rsid w:val="00A173B3"/>
    <w:rsid w:val="00A23FA3"/>
    <w:rsid w:val="00A253ED"/>
    <w:rsid w:val="00A30C95"/>
    <w:rsid w:val="00A36D53"/>
    <w:rsid w:val="00A460E4"/>
    <w:rsid w:val="00A50DBF"/>
    <w:rsid w:val="00A53553"/>
    <w:rsid w:val="00A54980"/>
    <w:rsid w:val="00A5622F"/>
    <w:rsid w:val="00A633E8"/>
    <w:rsid w:val="00A738AC"/>
    <w:rsid w:val="00A81018"/>
    <w:rsid w:val="00A86DDA"/>
    <w:rsid w:val="00A9143B"/>
    <w:rsid w:val="00A9218A"/>
    <w:rsid w:val="00A9508F"/>
    <w:rsid w:val="00AA0314"/>
    <w:rsid w:val="00AA58EA"/>
    <w:rsid w:val="00AC00E5"/>
    <w:rsid w:val="00AC390D"/>
    <w:rsid w:val="00AD0E07"/>
    <w:rsid w:val="00AD2080"/>
    <w:rsid w:val="00AE1825"/>
    <w:rsid w:val="00AF13C8"/>
    <w:rsid w:val="00AF2C9E"/>
    <w:rsid w:val="00AF4CFA"/>
    <w:rsid w:val="00AF5A02"/>
    <w:rsid w:val="00AF761D"/>
    <w:rsid w:val="00B14E61"/>
    <w:rsid w:val="00B20326"/>
    <w:rsid w:val="00B235AF"/>
    <w:rsid w:val="00B3085E"/>
    <w:rsid w:val="00B3524B"/>
    <w:rsid w:val="00B40106"/>
    <w:rsid w:val="00B41EF0"/>
    <w:rsid w:val="00B45538"/>
    <w:rsid w:val="00B5218E"/>
    <w:rsid w:val="00B551B1"/>
    <w:rsid w:val="00B5642B"/>
    <w:rsid w:val="00B60699"/>
    <w:rsid w:val="00B77F3E"/>
    <w:rsid w:val="00B810CC"/>
    <w:rsid w:val="00B847F2"/>
    <w:rsid w:val="00B84EB9"/>
    <w:rsid w:val="00B87873"/>
    <w:rsid w:val="00B91BD0"/>
    <w:rsid w:val="00BA2BD9"/>
    <w:rsid w:val="00BA5AC7"/>
    <w:rsid w:val="00BB39BF"/>
    <w:rsid w:val="00BB65EF"/>
    <w:rsid w:val="00BB7ED8"/>
    <w:rsid w:val="00BE7289"/>
    <w:rsid w:val="00C02A56"/>
    <w:rsid w:val="00C04A1F"/>
    <w:rsid w:val="00C05237"/>
    <w:rsid w:val="00C1479C"/>
    <w:rsid w:val="00C15D20"/>
    <w:rsid w:val="00C24814"/>
    <w:rsid w:val="00C25273"/>
    <w:rsid w:val="00C356D6"/>
    <w:rsid w:val="00C44386"/>
    <w:rsid w:val="00C4652D"/>
    <w:rsid w:val="00C537B5"/>
    <w:rsid w:val="00C668ED"/>
    <w:rsid w:val="00C73518"/>
    <w:rsid w:val="00C837A0"/>
    <w:rsid w:val="00C92011"/>
    <w:rsid w:val="00C97C74"/>
    <w:rsid w:val="00CA4BF5"/>
    <w:rsid w:val="00CA5C48"/>
    <w:rsid w:val="00CA5ED8"/>
    <w:rsid w:val="00CB7877"/>
    <w:rsid w:val="00CC0E20"/>
    <w:rsid w:val="00CC2C3A"/>
    <w:rsid w:val="00CD6799"/>
    <w:rsid w:val="00CE5C68"/>
    <w:rsid w:val="00CE6A6B"/>
    <w:rsid w:val="00CE76DE"/>
    <w:rsid w:val="00CF22CC"/>
    <w:rsid w:val="00D0042E"/>
    <w:rsid w:val="00D01192"/>
    <w:rsid w:val="00D038FE"/>
    <w:rsid w:val="00D039E6"/>
    <w:rsid w:val="00D07070"/>
    <w:rsid w:val="00D0755F"/>
    <w:rsid w:val="00D1782D"/>
    <w:rsid w:val="00D37491"/>
    <w:rsid w:val="00D37C62"/>
    <w:rsid w:val="00D40F03"/>
    <w:rsid w:val="00D41466"/>
    <w:rsid w:val="00D64803"/>
    <w:rsid w:val="00D7517C"/>
    <w:rsid w:val="00D762AA"/>
    <w:rsid w:val="00D802A1"/>
    <w:rsid w:val="00D8058C"/>
    <w:rsid w:val="00D837CF"/>
    <w:rsid w:val="00D83968"/>
    <w:rsid w:val="00D85AF6"/>
    <w:rsid w:val="00DA3F18"/>
    <w:rsid w:val="00DB00F0"/>
    <w:rsid w:val="00DB1A5E"/>
    <w:rsid w:val="00DB21FA"/>
    <w:rsid w:val="00DD5C7B"/>
    <w:rsid w:val="00DD7BDD"/>
    <w:rsid w:val="00DE0856"/>
    <w:rsid w:val="00DE5D75"/>
    <w:rsid w:val="00E066F1"/>
    <w:rsid w:val="00E07F02"/>
    <w:rsid w:val="00E12401"/>
    <w:rsid w:val="00E13253"/>
    <w:rsid w:val="00E37572"/>
    <w:rsid w:val="00E408DA"/>
    <w:rsid w:val="00E46F1B"/>
    <w:rsid w:val="00E51A65"/>
    <w:rsid w:val="00E56AD6"/>
    <w:rsid w:val="00E64944"/>
    <w:rsid w:val="00E73240"/>
    <w:rsid w:val="00E821D7"/>
    <w:rsid w:val="00E91AEC"/>
    <w:rsid w:val="00EA528D"/>
    <w:rsid w:val="00EB0313"/>
    <w:rsid w:val="00EB1DD8"/>
    <w:rsid w:val="00EB34CB"/>
    <w:rsid w:val="00EB41E5"/>
    <w:rsid w:val="00EC142F"/>
    <w:rsid w:val="00EC2762"/>
    <w:rsid w:val="00EE206B"/>
    <w:rsid w:val="00EF2385"/>
    <w:rsid w:val="00F020F1"/>
    <w:rsid w:val="00F078B9"/>
    <w:rsid w:val="00F105DE"/>
    <w:rsid w:val="00F12EAC"/>
    <w:rsid w:val="00F151D7"/>
    <w:rsid w:val="00F22B7B"/>
    <w:rsid w:val="00F33118"/>
    <w:rsid w:val="00F4206A"/>
    <w:rsid w:val="00F45C1F"/>
    <w:rsid w:val="00F46E01"/>
    <w:rsid w:val="00F55330"/>
    <w:rsid w:val="00F55AB1"/>
    <w:rsid w:val="00F61ED5"/>
    <w:rsid w:val="00F65E6D"/>
    <w:rsid w:val="00F66D39"/>
    <w:rsid w:val="00F72D28"/>
    <w:rsid w:val="00F73EAF"/>
    <w:rsid w:val="00F74B0E"/>
    <w:rsid w:val="00F86E79"/>
    <w:rsid w:val="00F902A0"/>
    <w:rsid w:val="00F95320"/>
    <w:rsid w:val="00F96CE4"/>
    <w:rsid w:val="00FA06AD"/>
    <w:rsid w:val="00FC4481"/>
    <w:rsid w:val="00FC50F7"/>
    <w:rsid w:val="00FD1FDC"/>
    <w:rsid w:val="00FD3B1E"/>
    <w:rsid w:val="00FD4274"/>
    <w:rsid w:val="00FE2268"/>
    <w:rsid w:val="00FE4F25"/>
    <w:rsid w:val="00FF1714"/>
    <w:rsid w:val="00FF6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C362F-9965-46B4-A4A9-35510524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C48"/>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F95320"/>
    <w:pPr>
      <w:spacing w:after="0" w:line="240" w:lineRule="auto"/>
    </w:pPr>
    <w:rPr>
      <w:rFonts w:ascii="Times New Roman" w:eastAsia="Times New Roman" w:hAnsi="Times New Roman" w:cs="Times New Roman"/>
      <w:sz w:val="20"/>
      <w:szCs w:val="20"/>
      <w:lang w:eastAsia="uk-UA"/>
    </w:rPr>
  </w:style>
  <w:style w:type="paragraph" w:styleId="a3">
    <w:name w:val="endnote text"/>
    <w:basedOn w:val="a"/>
    <w:link w:val="a4"/>
    <w:uiPriority w:val="99"/>
    <w:unhideWhenUsed/>
    <w:rsid w:val="00F95320"/>
    <w:pPr>
      <w:spacing w:after="0" w:line="240" w:lineRule="auto"/>
    </w:pPr>
    <w:rPr>
      <w:rFonts w:ascii="Calibri" w:eastAsia="Calibri" w:hAnsi="Calibri" w:cs="Times New Roman"/>
      <w:noProof w:val="0"/>
      <w:sz w:val="20"/>
      <w:szCs w:val="20"/>
    </w:rPr>
  </w:style>
  <w:style w:type="character" w:customStyle="1" w:styleId="a4">
    <w:name w:val="Текст концевой сноски Знак"/>
    <w:basedOn w:val="a0"/>
    <w:link w:val="a3"/>
    <w:uiPriority w:val="99"/>
    <w:rsid w:val="00F95320"/>
    <w:rPr>
      <w:rFonts w:ascii="Calibri" w:eastAsia="Calibri" w:hAnsi="Calibri" w:cs="Times New Roman"/>
      <w:sz w:val="20"/>
      <w:szCs w:val="20"/>
    </w:rPr>
  </w:style>
  <w:style w:type="paragraph" w:styleId="a5">
    <w:name w:val="annotation text"/>
    <w:basedOn w:val="a"/>
    <w:link w:val="a6"/>
    <w:rsid w:val="00F95320"/>
    <w:pPr>
      <w:spacing w:after="0" w:line="240" w:lineRule="auto"/>
    </w:pPr>
    <w:rPr>
      <w:rFonts w:ascii="Times New Roman" w:eastAsia="Times New Roman" w:hAnsi="Times New Roman" w:cs="Times New Roman"/>
      <w:noProof w:val="0"/>
      <w:sz w:val="20"/>
      <w:szCs w:val="20"/>
      <w:lang w:eastAsia="ru-RU"/>
    </w:rPr>
  </w:style>
  <w:style w:type="character" w:customStyle="1" w:styleId="a6">
    <w:name w:val="Текст примечания Знак"/>
    <w:basedOn w:val="a0"/>
    <w:link w:val="a5"/>
    <w:rsid w:val="00F95320"/>
    <w:rPr>
      <w:rFonts w:ascii="Times New Roman" w:eastAsia="Times New Roman" w:hAnsi="Times New Roman" w:cs="Times New Roman"/>
      <w:sz w:val="20"/>
      <w:szCs w:val="20"/>
      <w:lang w:eastAsia="ru-RU"/>
    </w:rPr>
  </w:style>
  <w:style w:type="paragraph" w:styleId="a7">
    <w:name w:val="List Paragraph"/>
    <w:basedOn w:val="a"/>
    <w:uiPriority w:val="34"/>
    <w:qFormat/>
    <w:rsid w:val="00470439"/>
    <w:pPr>
      <w:ind w:left="720"/>
      <w:contextualSpacing/>
    </w:pPr>
  </w:style>
  <w:style w:type="paragraph" w:customStyle="1" w:styleId="rvps14">
    <w:name w:val="rvps14"/>
    <w:basedOn w:val="a"/>
    <w:rsid w:val="00687B50"/>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paragraph" w:styleId="a8">
    <w:name w:val="Balloon Text"/>
    <w:basedOn w:val="a"/>
    <w:link w:val="a9"/>
    <w:uiPriority w:val="99"/>
    <w:semiHidden/>
    <w:unhideWhenUsed/>
    <w:rsid w:val="0027297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72975"/>
    <w:rPr>
      <w:rFonts w:ascii="Segoe UI" w:hAnsi="Segoe UI" w:cs="Segoe UI"/>
      <w:noProof/>
      <w:sz w:val="18"/>
      <w:szCs w:val="18"/>
    </w:rPr>
  </w:style>
  <w:style w:type="paragraph" w:styleId="aa">
    <w:name w:val="header"/>
    <w:basedOn w:val="a"/>
    <w:link w:val="ab"/>
    <w:uiPriority w:val="99"/>
    <w:unhideWhenUsed/>
    <w:rsid w:val="0001730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1730A"/>
    <w:rPr>
      <w:noProof/>
    </w:rPr>
  </w:style>
  <w:style w:type="paragraph" w:styleId="ac">
    <w:name w:val="footer"/>
    <w:basedOn w:val="a"/>
    <w:link w:val="ad"/>
    <w:uiPriority w:val="99"/>
    <w:unhideWhenUsed/>
    <w:rsid w:val="0001730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1730A"/>
    <w:rPr>
      <w:noProof/>
    </w:rPr>
  </w:style>
  <w:style w:type="character" w:styleId="ae">
    <w:name w:val="Subtle Reference"/>
    <w:basedOn w:val="a0"/>
    <w:uiPriority w:val="31"/>
    <w:qFormat/>
    <w:rsid w:val="0000079D"/>
    <w:rPr>
      <w:smallCaps/>
      <w:color w:val="5A5A5A" w:themeColor="text1" w:themeTint="A5"/>
    </w:rPr>
  </w:style>
  <w:style w:type="character" w:styleId="af">
    <w:name w:val="Emphasis"/>
    <w:basedOn w:val="a0"/>
    <w:uiPriority w:val="20"/>
    <w:qFormat/>
    <w:rsid w:val="00692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11-15" TargetMode="External"/><Relationship Id="rId13" Type="http://schemas.openxmlformats.org/officeDocument/2006/relationships/hyperlink" Target="https://zakon.rada.gov.ua/laws/show/z1311-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311-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zakon.rada.gov.ua/laws/show/z1311-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12272-F6D2-49C9-8BCF-BA5D8E33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10238</Words>
  <Characters>5836</Characters>
  <Application>Microsoft Office Word</Application>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NSSMC</Company>
  <LinksUpToDate>false</LinksUpToDate>
  <CharactersWithSpaces>16042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gavrylyuk</cp:lastModifiedBy>
  <cp:revision>4</cp:revision>
  <cp:lastPrinted>2021-07-16T09:12:00Z</cp:lastPrinted>
  <dcterms:created xsi:type="dcterms:W3CDTF">2021-12-08T12:30:00Z</dcterms:created>
  <dcterms:modified xsi:type="dcterms:W3CDTF">2021-12-08T14:54:00Z</dcterms:modified>
</cp:coreProperties>
</file>