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A638F" w14:textId="77777777" w:rsidR="00FD53FE" w:rsidRDefault="005B12BF">
      <w:r>
        <w:rPr>
          <w:noProof/>
          <w:lang w:val="en-US" w:eastAsia="en-US"/>
        </w:rPr>
        <w:drawing>
          <wp:inline distT="0" distB="0" distL="0" distR="0" wp14:anchorId="75BFD0C3" wp14:editId="5AB8CCDD">
            <wp:extent cx="2743200" cy="825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43200" cy="825500"/>
                    </a:xfrm>
                    <a:prstGeom prst="rect">
                      <a:avLst/>
                    </a:prstGeom>
                  </pic:spPr>
                </pic:pic>
              </a:graphicData>
            </a:graphic>
          </wp:inline>
        </w:drawing>
      </w:r>
    </w:p>
    <w:p w14:paraId="6FAA5C58" w14:textId="77777777" w:rsidR="00FD53FE" w:rsidRDefault="005B12BF">
      <w:pPr>
        <w:spacing w:after="75"/>
        <w:jc w:val="center"/>
      </w:pPr>
      <w:bookmarkStart w:id="0" w:name="1"/>
      <w:r>
        <w:rPr>
          <w:noProof/>
          <w:lang w:val="en-US" w:eastAsia="en-US"/>
        </w:rPr>
        <w:drawing>
          <wp:inline distT="0" distB="0" distL="0" distR="0" wp14:anchorId="7E981638" wp14:editId="2B995DAD">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11200" cy="1193800"/>
                    </a:xfrm>
                    <a:prstGeom prst="rect">
                      <a:avLst/>
                    </a:prstGeom>
                  </pic:spPr>
                </pic:pic>
              </a:graphicData>
            </a:graphic>
          </wp:inline>
        </w:drawing>
      </w:r>
    </w:p>
    <w:p w14:paraId="75A599FF" w14:textId="77777777" w:rsidR="00FD53FE" w:rsidRDefault="005B12BF">
      <w:pPr>
        <w:pStyle w:val="2"/>
        <w:spacing w:after="225"/>
        <w:jc w:val="center"/>
      </w:pPr>
      <w:bookmarkStart w:id="1" w:name="2"/>
      <w:bookmarkEnd w:id="0"/>
      <w:r>
        <w:rPr>
          <w:rFonts w:ascii="Times New Roman" w:hAnsi="Times New Roman"/>
          <w:color w:val="000000"/>
          <w:sz w:val="40"/>
        </w:rPr>
        <w:t>НАЦІОНАЛЬНА КОМІСІЯ З ЦІННИХ ПАПЕРІВ ТА ФОНДОВОГО РИНКУ</w:t>
      </w:r>
    </w:p>
    <w:p w14:paraId="6D11B98E" w14:textId="77777777" w:rsidR="00FD53FE" w:rsidRDefault="005B12BF">
      <w:pPr>
        <w:pStyle w:val="2"/>
        <w:spacing w:after="225"/>
        <w:jc w:val="center"/>
      </w:pPr>
      <w:bookmarkStart w:id="2" w:name="3"/>
      <w:bookmarkEnd w:id="1"/>
      <w:r>
        <w:rPr>
          <w:rFonts w:ascii="Times New Roman" w:hAnsi="Times New Roman"/>
          <w:color w:val="000000"/>
          <w:sz w:val="40"/>
        </w:rPr>
        <w:t>РІШЕННЯ</w:t>
      </w:r>
    </w:p>
    <w:tbl>
      <w:tblPr>
        <w:tblW w:w="0" w:type="auto"/>
        <w:tblCellSpacing w:w="0" w:type="auto"/>
        <w:tblBorders>
          <w:top w:val="single" w:sz="8" w:space="0" w:color="E5E2FF"/>
        </w:tblBorders>
        <w:tblLook w:val="04A0" w:firstRow="1" w:lastRow="0" w:firstColumn="1" w:lastColumn="0" w:noHBand="0" w:noVBand="1"/>
      </w:tblPr>
      <w:tblGrid>
        <w:gridCol w:w="3069"/>
        <w:gridCol w:w="2948"/>
        <w:gridCol w:w="3010"/>
      </w:tblGrid>
      <w:tr w:rsidR="00FD53FE" w14:paraId="0384AE4A" w14:textId="77777777">
        <w:trPr>
          <w:trHeight w:val="30"/>
          <w:tblCellSpacing w:w="0" w:type="auto"/>
        </w:trPr>
        <w:tc>
          <w:tcPr>
            <w:tcW w:w="3295" w:type="dxa"/>
            <w:vAlign w:val="center"/>
          </w:tcPr>
          <w:p w14:paraId="5C086868" w14:textId="77777777" w:rsidR="00FD53FE" w:rsidRDefault="005B12BF">
            <w:pPr>
              <w:spacing w:after="75"/>
              <w:jc w:val="center"/>
            </w:pPr>
            <w:bookmarkStart w:id="3" w:name="4"/>
            <w:bookmarkEnd w:id="2"/>
            <w:r>
              <w:rPr>
                <w:rFonts w:ascii="Times New Roman" w:hAnsi="Times New Roman"/>
                <w:b/>
                <w:color w:val="000000"/>
                <w:sz w:val="15"/>
              </w:rPr>
              <w:t>04.03.2026</w:t>
            </w:r>
          </w:p>
        </w:tc>
        <w:tc>
          <w:tcPr>
            <w:tcW w:w="3198" w:type="dxa"/>
            <w:vAlign w:val="center"/>
          </w:tcPr>
          <w:p w14:paraId="499A464E" w14:textId="77777777" w:rsidR="00FD53FE" w:rsidRDefault="005B12BF">
            <w:pPr>
              <w:spacing w:after="75"/>
              <w:jc w:val="center"/>
            </w:pPr>
            <w:bookmarkStart w:id="4" w:name="5"/>
            <w:bookmarkEnd w:id="3"/>
            <w:r>
              <w:rPr>
                <w:rFonts w:ascii="Times New Roman" w:hAnsi="Times New Roman"/>
                <w:b/>
                <w:color w:val="000000"/>
                <w:sz w:val="15"/>
              </w:rPr>
              <w:t>м. Київ</w:t>
            </w:r>
          </w:p>
        </w:tc>
        <w:tc>
          <w:tcPr>
            <w:tcW w:w="3197" w:type="dxa"/>
            <w:vAlign w:val="center"/>
          </w:tcPr>
          <w:p w14:paraId="3E880716" w14:textId="77777777" w:rsidR="00FD53FE" w:rsidRDefault="005B12BF">
            <w:pPr>
              <w:spacing w:after="75"/>
              <w:jc w:val="center"/>
            </w:pPr>
            <w:bookmarkStart w:id="5" w:name="6"/>
            <w:bookmarkEnd w:id="4"/>
            <w:r>
              <w:rPr>
                <w:rFonts w:ascii="Times New Roman" w:hAnsi="Times New Roman"/>
                <w:b/>
                <w:color w:val="000000"/>
                <w:sz w:val="15"/>
              </w:rPr>
              <w:t>N 09/21/3859/К03</w:t>
            </w:r>
          </w:p>
        </w:tc>
        <w:bookmarkEnd w:id="5"/>
      </w:tr>
    </w:tbl>
    <w:p w14:paraId="141EF173" w14:textId="77777777" w:rsidR="00FD53FE" w:rsidRDefault="005B12BF">
      <w:pPr>
        <w:spacing w:after="75"/>
        <w:jc w:val="center"/>
      </w:pPr>
      <w:bookmarkStart w:id="6" w:name="7"/>
      <w:r>
        <w:rPr>
          <w:rFonts w:ascii="Times New Roman" w:hAnsi="Times New Roman"/>
          <w:b/>
          <w:color w:val="000000"/>
          <w:sz w:val="24"/>
        </w:rPr>
        <w:t>Зареєстровано в Міністерстві юстиції України</w:t>
      </w:r>
      <w:r>
        <w:br/>
      </w:r>
      <w:r>
        <w:rPr>
          <w:rFonts w:ascii="Times New Roman" w:hAnsi="Times New Roman"/>
          <w:b/>
          <w:color w:val="000000"/>
          <w:sz w:val="24"/>
        </w:rPr>
        <w:t>16 березня 2026 р. за N 345/45739</w:t>
      </w:r>
    </w:p>
    <w:p w14:paraId="022194D5" w14:textId="77777777" w:rsidR="00FD53FE" w:rsidRDefault="005B12BF">
      <w:pPr>
        <w:pStyle w:val="2"/>
        <w:spacing w:after="225"/>
        <w:jc w:val="center"/>
      </w:pPr>
      <w:bookmarkStart w:id="7" w:name="8"/>
      <w:bookmarkEnd w:id="6"/>
      <w:r>
        <w:rPr>
          <w:rFonts w:ascii="Times New Roman" w:hAnsi="Times New Roman"/>
          <w:color w:val="000000"/>
          <w:sz w:val="40"/>
        </w:rPr>
        <w:t>Про внесення змін до Порядку погодження особи, призначеної на посаду керівника професійного учасника ринків капіталу та організованих товарних ринків, посадових осіб системи внутрішнього контролю та осіб, відповідальних за здійснення фінансового моніторингу</w:t>
      </w:r>
    </w:p>
    <w:p w14:paraId="5D5770DD" w14:textId="77777777" w:rsidR="00FD53FE" w:rsidRDefault="005B12BF">
      <w:pPr>
        <w:spacing w:after="75"/>
        <w:ind w:firstLine="240"/>
        <w:jc w:val="both"/>
      </w:pPr>
      <w:bookmarkStart w:id="8" w:name="9"/>
      <w:bookmarkEnd w:id="7"/>
      <w:r>
        <w:rPr>
          <w:rFonts w:ascii="Times New Roman" w:hAnsi="Times New Roman"/>
          <w:color w:val="000000"/>
          <w:sz w:val="24"/>
        </w:rPr>
        <w:t xml:space="preserve">Відповідно до </w:t>
      </w:r>
      <w:r>
        <w:rPr>
          <w:rFonts w:ascii="Times New Roman" w:hAnsi="Times New Roman"/>
          <w:color w:val="293A55"/>
          <w:sz w:val="24"/>
        </w:rPr>
        <w:t>пунктів 1</w:t>
      </w:r>
      <w:r>
        <w:rPr>
          <w:rFonts w:ascii="Times New Roman" w:hAnsi="Times New Roman"/>
          <w:color w:val="000000"/>
          <w:sz w:val="24"/>
        </w:rPr>
        <w:t xml:space="preserve">, </w:t>
      </w:r>
      <w:r>
        <w:rPr>
          <w:rFonts w:ascii="Times New Roman" w:hAnsi="Times New Roman"/>
          <w:color w:val="293A55"/>
          <w:sz w:val="24"/>
        </w:rPr>
        <w:t>2</w:t>
      </w:r>
      <w:r>
        <w:rPr>
          <w:rFonts w:ascii="Times New Roman" w:hAnsi="Times New Roman"/>
          <w:color w:val="000000"/>
          <w:sz w:val="24"/>
        </w:rPr>
        <w:t xml:space="preserve"> та </w:t>
      </w:r>
      <w:r>
        <w:rPr>
          <w:rFonts w:ascii="Times New Roman" w:hAnsi="Times New Roman"/>
          <w:color w:val="293A55"/>
          <w:sz w:val="24"/>
        </w:rPr>
        <w:t>48 частини першої статті 7 Закону України "Про державне регулювання ринків капіталу та організованих товарних ринків"</w:t>
      </w:r>
      <w:r>
        <w:rPr>
          <w:rFonts w:ascii="Times New Roman" w:hAnsi="Times New Roman"/>
          <w:color w:val="000000"/>
          <w:sz w:val="24"/>
        </w:rPr>
        <w:t xml:space="preserve">, </w:t>
      </w:r>
      <w:r>
        <w:rPr>
          <w:rFonts w:ascii="Times New Roman" w:hAnsi="Times New Roman"/>
          <w:color w:val="293A55"/>
          <w:sz w:val="24"/>
        </w:rPr>
        <w:t>Закону України "Про ринки капіталу та організовані товарні ринки"</w:t>
      </w:r>
      <w:r>
        <w:rPr>
          <w:rFonts w:ascii="Times New Roman" w:hAnsi="Times New Roman"/>
          <w:color w:val="000000"/>
          <w:sz w:val="24"/>
        </w:rPr>
        <w:t xml:space="preserve"> та з метою удосконалення правового регулювання діяльності професійних учасників ринків капіталу та організованих товарних ринків Національна комісія з цінних паперів та фондового ринку</w:t>
      </w:r>
    </w:p>
    <w:p w14:paraId="7E91C50C" w14:textId="77777777" w:rsidR="00FD53FE" w:rsidRDefault="005B12BF">
      <w:pPr>
        <w:spacing w:after="75"/>
        <w:ind w:firstLine="240"/>
        <w:jc w:val="both"/>
      </w:pPr>
      <w:bookmarkStart w:id="9" w:name="10"/>
      <w:bookmarkEnd w:id="8"/>
      <w:r>
        <w:rPr>
          <w:rFonts w:ascii="Times New Roman" w:hAnsi="Times New Roman"/>
          <w:b/>
          <w:color w:val="000000"/>
          <w:sz w:val="24"/>
        </w:rPr>
        <w:t>ВИРІШИЛА:</w:t>
      </w:r>
    </w:p>
    <w:p w14:paraId="39414A61" w14:textId="77777777" w:rsidR="00FD53FE" w:rsidRDefault="005B12BF">
      <w:pPr>
        <w:spacing w:after="75"/>
        <w:ind w:firstLine="240"/>
        <w:jc w:val="both"/>
      </w:pPr>
      <w:bookmarkStart w:id="10" w:name="11"/>
      <w:bookmarkEnd w:id="9"/>
      <w:r>
        <w:rPr>
          <w:rFonts w:ascii="Times New Roman" w:hAnsi="Times New Roman"/>
          <w:color w:val="000000"/>
          <w:sz w:val="24"/>
        </w:rPr>
        <w:t xml:space="preserve">1. </w:t>
      </w:r>
      <w:proofErr w:type="spellStart"/>
      <w:r>
        <w:rPr>
          <w:rFonts w:ascii="Times New Roman" w:hAnsi="Times New Roman"/>
          <w:color w:val="000000"/>
          <w:sz w:val="24"/>
        </w:rPr>
        <w:t>Внести</w:t>
      </w:r>
      <w:proofErr w:type="spellEnd"/>
      <w:r>
        <w:rPr>
          <w:rFonts w:ascii="Times New Roman" w:hAnsi="Times New Roman"/>
          <w:color w:val="000000"/>
          <w:sz w:val="24"/>
        </w:rPr>
        <w:t xml:space="preserve"> до Порядку погодження особи, призначеної на посаду керівника професійного учасника ринків капіталу та організованих товарних ринків, посадових осіб системи внутрішнього контролю та осіб, відповідальних за здійснення фінансового моніторингу, затвердженого </w:t>
      </w:r>
      <w:r>
        <w:rPr>
          <w:rFonts w:ascii="Times New Roman" w:hAnsi="Times New Roman"/>
          <w:color w:val="293A55"/>
          <w:sz w:val="24"/>
        </w:rPr>
        <w:t xml:space="preserve">рішенням Національної комісії з цінних паперів та </w:t>
      </w:r>
      <w:r>
        <w:rPr>
          <w:rFonts w:ascii="Times New Roman" w:hAnsi="Times New Roman"/>
          <w:color w:val="293A55"/>
          <w:sz w:val="24"/>
        </w:rPr>
        <w:lastRenderedPageBreak/>
        <w:t>фондового ринку від 14 листопада 2024 року N 09/21/1418/К03</w:t>
      </w:r>
      <w:r>
        <w:rPr>
          <w:rFonts w:ascii="Times New Roman" w:hAnsi="Times New Roman"/>
          <w:color w:val="000000"/>
          <w:sz w:val="24"/>
        </w:rPr>
        <w:t>, зареєстрованого в Міністерстві юстиції України 28 листопада 2024 року за N 1806/43151, такі зміни:</w:t>
      </w:r>
    </w:p>
    <w:p w14:paraId="18CF502B" w14:textId="77777777" w:rsidR="00FD53FE" w:rsidRDefault="005B12BF">
      <w:pPr>
        <w:spacing w:after="75"/>
        <w:ind w:firstLine="240"/>
        <w:jc w:val="both"/>
      </w:pPr>
      <w:bookmarkStart w:id="11" w:name="12"/>
      <w:bookmarkEnd w:id="10"/>
      <w:r>
        <w:rPr>
          <w:rFonts w:ascii="Times New Roman" w:hAnsi="Times New Roman"/>
          <w:color w:val="000000"/>
          <w:sz w:val="24"/>
        </w:rPr>
        <w:t>1) пункт 13 розділу I викласти у такій редакції:</w:t>
      </w:r>
    </w:p>
    <w:p w14:paraId="64434ECC" w14:textId="77777777" w:rsidR="00FD53FE" w:rsidRDefault="005B12BF">
      <w:pPr>
        <w:spacing w:after="75"/>
        <w:ind w:firstLine="240"/>
        <w:jc w:val="both"/>
      </w:pPr>
      <w:bookmarkStart w:id="12" w:name="13"/>
      <w:bookmarkEnd w:id="11"/>
      <w:r>
        <w:rPr>
          <w:rFonts w:ascii="Times New Roman" w:hAnsi="Times New Roman"/>
          <w:color w:val="000000"/>
          <w:sz w:val="24"/>
        </w:rPr>
        <w:t>"13. НКЦПФР застосовує своє професійне судження для прийняття постанов, визначених цим Порядком.</w:t>
      </w:r>
    </w:p>
    <w:p w14:paraId="0532C566" w14:textId="77777777" w:rsidR="00FD53FE" w:rsidRDefault="005B12BF">
      <w:pPr>
        <w:spacing w:after="75"/>
        <w:ind w:firstLine="240"/>
        <w:jc w:val="both"/>
      </w:pPr>
      <w:bookmarkStart w:id="13" w:name="14"/>
      <w:bookmarkEnd w:id="12"/>
      <w:r>
        <w:rPr>
          <w:rFonts w:ascii="Times New Roman" w:hAnsi="Times New Roman"/>
          <w:color w:val="000000"/>
          <w:sz w:val="24"/>
        </w:rPr>
        <w:t>Професійне судження формується НКЦПФР з урахуванням визначених у пункті 12 цього розділу принципів.</w:t>
      </w:r>
    </w:p>
    <w:p w14:paraId="07CB9301" w14:textId="77777777" w:rsidR="00FD53FE" w:rsidRDefault="005B12BF">
      <w:pPr>
        <w:spacing w:after="75"/>
        <w:ind w:firstLine="240"/>
        <w:jc w:val="both"/>
      </w:pPr>
      <w:bookmarkStart w:id="14" w:name="15"/>
      <w:bookmarkEnd w:id="13"/>
      <w:r>
        <w:rPr>
          <w:rFonts w:ascii="Times New Roman" w:hAnsi="Times New Roman"/>
          <w:color w:val="000000"/>
          <w:sz w:val="24"/>
        </w:rPr>
        <w:t>НКЦПФР погоджує особу, зазначену у пунктах 1, 2 цього розділу, за результатом проведеної НКЦПФР комплексної оцінки, яка включає:</w:t>
      </w:r>
    </w:p>
    <w:p w14:paraId="27D342A4" w14:textId="77777777" w:rsidR="00FD53FE" w:rsidRDefault="005B12BF">
      <w:pPr>
        <w:spacing w:after="75"/>
        <w:ind w:firstLine="240"/>
        <w:jc w:val="both"/>
      </w:pPr>
      <w:bookmarkStart w:id="15" w:name="16"/>
      <w:bookmarkEnd w:id="14"/>
      <w:r>
        <w:rPr>
          <w:rFonts w:ascii="Times New Roman" w:hAnsi="Times New Roman"/>
          <w:color w:val="000000"/>
          <w:sz w:val="24"/>
        </w:rPr>
        <w:t>аналіз інформації, отриманої НКЦПФР від професійного учасника, інформації, отриманої під час здійснення державного регулювання та нагляду, інформації з відкритих джерел;</w:t>
      </w:r>
    </w:p>
    <w:p w14:paraId="6EB046AC" w14:textId="77777777" w:rsidR="00FD53FE" w:rsidRDefault="005B12BF">
      <w:pPr>
        <w:spacing w:after="75"/>
        <w:ind w:firstLine="240"/>
        <w:jc w:val="both"/>
      </w:pPr>
      <w:bookmarkStart w:id="16" w:name="17"/>
      <w:bookmarkEnd w:id="15"/>
      <w:r>
        <w:rPr>
          <w:rFonts w:ascii="Times New Roman" w:hAnsi="Times New Roman"/>
          <w:color w:val="000000"/>
          <w:sz w:val="24"/>
        </w:rPr>
        <w:t>оцінку ділової репутації, професійної придатності, освіти, навичок та досвіду, відсутності конфлікту інтересів.";</w:t>
      </w:r>
    </w:p>
    <w:p w14:paraId="7B941E0E" w14:textId="77777777" w:rsidR="00FD53FE" w:rsidRDefault="005B12BF">
      <w:pPr>
        <w:spacing w:after="75"/>
        <w:ind w:firstLine="240"/>
        <w:jc w:val="both"/>
      </w:pPr>
      <w:bookmarkStart w:id="17" w:name="18"/>
      <w:bookmarkEnd w:id="16"/>
      <w:r>
        <w:rPr>
          <w:rFonts w:ascii="Times New Roman" w:hAnsi="Times New Roman"/>
          <w:color w:val="000000"/>
          <w:sz w:val="24"/>
        </w:rPr>
        <w:t>2) у розділі III:</w:t>
      </w:r>
    </w:p>
    <w:p w14:paraId="7C51FCBD" w14:textId="77777777" w:rsidR="00FD53FE" w:rsidRDefault="005B12BF">
      <w:pPr>
        <w:spacing w:after="75"/>
        <w:ind w:firstLine="240"/>
        <w:jc w:val="both"/>
      </w:pPr>
      <w:bookmarkStart w:id="18" w:name="19"/>
      <w:bookmarkEnd w:id="17"/>
      <w:r>
        <w:rPr>
          <w:rFonts w:ascii="Times New Roman" w:hAnsi="Times New Roman"/>
          <w:color w:val="000000"/>
          <w:sz w:val="24"/>
        </w:rPr>
        <w:t>в абзаці першому пункту 2 слова "з урахуванням загальної оцінки всіх поданих документів у строк не більше 30 робочих днів" замінити словами "проводить комплексну оцінку у строк не більше 60 календарних днів";</w:t>
      </w:r>
    </w:p>
    <w:p w14:paraId="7059D006" w14:textId="77777777" w:rsidR="00FD53FE" w:rsidRDefault="005B12BF">
      <w:pPr>
        <w:spacing w:after="75"/>
        <w:ind w:firstLine="240"/>
        <w:jc w:val="both"/>
      </w:pPr>
      <w:bookmarkStart w:id="19" w:name="20"/>
      <w:bookmarkEnd w:id="18"/>
      <w:r>
        <w:rPr>
          <w:rFonts w:ascii="Times New Roman" w:hAnsi="Times New Roman"/>
          <w:color w:val="000000"/>
          <w:sz w:val="24"/>
        </w:rPr>
        <w:t>абзац другий пункту 6 викласти у такій редакції:</w:t>
      </w:r>
    </w:p>
    <w:p w14:paraId="408E6FA4" w14:textId="77777777" w:rsidR="00FD53FE" w:rsidRDefault="005B12BF">
      <w:pPr>
        <w:spacing w:after="75"/>
        <w:ind w:firstLine="240"/>
        <w:jc w:val="both"/>
      </w:pPr>
      <w:bookmarkStart w:id="20" w:name="21"/>
      <w:bookmarkEnd w:id="19"/>
      <w:r>
        <w:rPr>
          <w:rFonts w:ascii="Times New Roman" w:hAnsi="Times New Roman"/>
          <w:color w:val="000000"/>
          <w:sz w:val="24"/>
        </w:rPr>
        <w:t>"встановлення невідповідності особи вимогам законодавства, у тому числі за результатом комплексної оцінки;";</w:t>
      </w:r>
    </w:p>
    <w:p w14:paraId="335DAAFD" w14:textId="77777777" w:rsidR="00FD53FE" w:rsidRDefault="005B12BF">
      <w:pPr>
        <w:spacing w:after="75"/>
        <w:ind w:firstLine="240"/>
        <w:jc w:val="both"/>
      </w:pPr>
      <w:bookmarkStart w:id="21" w:name="22"/>
      <w:bookmarkEnd w:id="20"/>
      <w:r>
        <w:rPr>
          <w:rFonts w:ascii="Times New Roman" w:hAnsi="Times New Roman"/>
          <w:color w:val="000000"/>
          <w:sz w:val="24"/>
        </w:rPr>
        <w:t>пункт 8 викласти у такій редакції:</w:t>
      </w:r>
    </w:p>
    <w:p w14:paraId="2B757F88" w14:textId="77777777" w:rsidR="00FD53FE" w:rsidRDefault="005B12BF">
      <w:pPr>
        <w:spacing w:after="75"/>
        <w:ind w:firstLine="240"/>
        <w:jc w:val="both"/>
      </w:pPr>
      <w:bookmarkStart w:id="22" w:name="23"/>
      <w:bookmarkEnd w:id="21"/>
      <w:r>
        <w:rPr>
          <w:rFonts w:ascii="Times New Roman" w:hAnsi="Times New Roman"/>
          <w:color w:val="000000"/>
          <w:sz w:val="24"/>
        </w:rPr>
        <w:t xml:space="preserve">"8. Уповноважений орган професійного учасника приймає рішення про звільнення особи, зазначеної у пунктах 1, 2 розділу I цього Порядку (крім особи, обраної до складу органу, відповідального за здійснення нагляду) із займаної посади або рішення про припинення тимчасового виконання особою обов'язків головного керівника, або припинення її права першого підпису, або припинення виконання обов'язків / функції </w:t>
      </w:r>
      <w:proofErr w:type="spellStart"/>
      <w:r>
        <w:rPr>
          <w:rFonts w:ascii="Times New Roman" w:hAnsi="Times New Roman"/>
          <w:color w:val="000000"/>
          <w:sz w:val="24"/>
        </w:rPr>
        <w:t>комплаєнс</w:t>
      </w:r>
      <w:proofErr w:type="spellEnd"/>
      <w:r>
        <w:rPr>
          <w:rFonts w:ascii="Times New Roman" w:hAnsi="Times New Roman"/>
          <w:color w:val="000000"/>
          <w:sz w:val="24"/>
        </w:rPr>
        <w:t>-менеджера, ризик-менеджера, внутрішнього аудитора чи особи, відповідальної за здійснення фінансового моніторингу:</w:t>
      </w:r>
    </w:p>
    <w:p w14:paraId="55AA5328" w14:textId="77777777" w:rsidR="00FD53FE" w:rsidRDefault="005B12BF">
      <w:pPr>
        <w:spacing w:after="75"/>
        <w:ind w:firstLine="240"/>
        <w:jc w:val="both"/>
      </w:pPr>
      <w:bookmarkStart w:id="23" w:name="24"/>
      <w:bookmarkEnd w:id="22"/>
      <w:r>
        <w:rPr>
          <w:rFonts w:ascii="Times New Roman" w:hAnsi="Times New Roman"/>
          <w:color w:val="000000"/>
          <w:sz w:val="24"/>
        </w:rPr>
        <w:t>протягом 30 днів з дня отримання від НКЦПФР листа та копії постанови НКЦПФР про відмову у погодженні такої особи, прийнятої з підстав, передбачених пунктом 6 цього розділу (крім випадку, передбаченого абзацом другим пункту 9 цього розділу);</w:t>
      </w:r>
    </w:p>
    <w:p w14:paraId="0244FBB4" w14:textId="77777777" w:rsidR="00FD53FE" w:rsidRDefault="005B12BF">
      <w:pPr>
        <w:spacing w:after="75"/>
        <w:ind w:firstLine="240"/>
        <w:jc w:val="both"/>
      </w:pPr>
      <w:bookmarkStart w:id="24" w:name="25"/>
      <w:bookmarkEnd w:id="23"/>
      <w:r>
        <w:rPr>
          <w:rFonts w:ascii="Times New Roman" w:hAnsi="Times New Roman"/>
          <w:color w:val="000000"/>
          <w:sz w:val="24"/>
        </w:rPr>
        <w:t>протягом 5 днів з дня отримання від НКЦПФР листа та копії постанови НКЦПФР про відмову у погодженні особи з підстав невідповідності особи вимогам законодавства в частині професійної придатності, яка прийнята за результатами комплексної оцінки такої особи після другого подання до НКЦПФР документів щодо такої особи, передбаченого абзацом другим пункту 9 цього розділу.</w:t>
      </w:r>
    </w:p>
    <w:p w14:paraId="2B78D786" w14:textId="77777777" w:rsidR="00FD53FE" w:rsidRDefault="005B12BF">
      <w:pPr>
        <w:spacing w:after="75"/>
        <w:ind w:firstLine="240"/>
        <w:jc w:val="both"/>
      </w:pPr>
      <w:bookmarkStart w:id="25" w:name="26"/>
      <w:bookmarkEnd w:id="24"/>
      <w:r>
        <w:rPr>
          <w:rFonts w:ascii="Times New Roman" w:hAnsi="Times New Roman"/>
          <w:color w:val="000000"/>
          <w:sz w:val="24"/>
        </w:rPr>
        <w:t xml:space="preserve">У випадку прийняття НКЦПФР постанови про відмову у погодженні щодо особи, обраної / призначеної на посаду / кандидатура якої пропонується на посаду голови або члена наглядової ради чи іншого органу, відповідального за здійснення нагляду, </w:t>
      </w:r>
      <w:r>
        <w:rPr>
          <w:rFonts w:ascii="Times New Roman" w:hAnsi="Times New Roman"/>
          <w:color w:val="000000"/>
          <w:sz w:val="24"/>
        </w:rPr>
        <w:lastRenderedPageBreak/>
        <w:t>професійний учасник повинен обрати/призначити іншу особу / кандидатуру на відповідну посаду (якщо таке обрання / призначення вимагається законодавством чи внутрішніми документами професійного учасника) протягом 90 календарних днів з дня отримання відповідного листа та копії такої постанови.</w:t>
      </w:r>
    </w:p>
    <w:p w14:paraId="55F0ECD3" w14:textId="77777777" w:rsidR="00FD53FE" w:rsidRDefault="005B12BF">
      <w:pPr>
        <w:spacing w:after="75"/>
        <w:ind w:firstLine="240"/>
        <w:jc w:val="both"/>
      </w:pPr>
      <w:bookmarkStart w:id="26" w:name="27"/>
      <w:bookmarkEnd w:id="25"/>
      <w:r>
        <w:rPr>
          <w:rFonts w:ascii="Times New Roman" w:hAnsi="Times New Roman"/>
          <w:color w:val="000000"/>
          <w:sz w:val="24"/>
        </w:rPr>
        <w:t>У випадку прийняття НКЦПФР постанови про відсутність підстав щодо особи, обраної / призначеної на посаду / кандидатура якої пропонується на посаду голови або члена наглядової ради чи іншого органу, відповідального за здійснення нагляду, професійний учасник повинен переобрати особу або обрати / призначити іншу особу / кандидатуру на відповідну посаду (якщо таке обрання / призначення вимагається законодавством чи внутрішніми документами професійного учасника) протягом 90 календарних днів з дня отримання відповідного листа та копії такої постанови.";</w:t>
      </w:r>
    </w:p>
    <w:p w14:paraId="16BA2D87" w14:textId="77777777" w:rsidR="00FD53FE" w:rsidRDefault="005B12BF">
      <w:pPr>
        <w:spacing w:after="75"/>
        <w:ind w:firstLine="240"/>
        <w:jc w:val="both"/>
      </w:pPr>
      <w:bookmarkStart w:id="27" w:name="28"/>
      <w:bookmarkEnd w:id="26"/>
      <w:r>
        <w:rPr>
          <w:rFonts w:ascii="Times New Roman" w:hAnsi="Times New Roman"/>
          <w:color w:val="000000"/>
          <w:sz w:val="24"/>
        </w:rPr>
        <w:t>доповнити пунктом 9 такого змісту:</w:t>
      </w:r>
    </w:p>
    <w:p w14:paraId="7F714378" w14:textId="77777777" w:rsidR="00FD53FE" w:rsidRDefault="005B12BF">
      <w:pPr>
        <w:spacing w:after="75"/>
        <w:ind w:firstLine="240"/>
        <w:jc w:val="both"/>
      </w:pPr>
      <w:bookmarkStart w:id="28" w:name="29"/>
      <w:bookmarkEnd w:id="27"/>
      <w:r>
        <w:rPr>
          <w:rFonts w:ascii="Times New Roman" w:hAnsi="Times New Roman"/>
          <w:color w:val="000000"/>
          <w:sz w:val="24"/>
        </w:rPr>
        <w:t>"9. Професійний учасник має право обрати / призначити особу, зазначену у пунктах 1, 2 розділу I цього Порядку, на відповідну посаду / покласти функції / обов'язки на таку особу / надати їй право першого підпису та подати до НКЦПФР відповідні документи для її погодження не раніше ніж через рік з дня прийняття НКЦПФР постанови про відмову у погодженні такої особи з підстав, передбачених пунктом 6 цього розділу (крім невідповідності особи вимогам законодавства в частині професійної придатності, яка встановлена за результатами комплексної оцінки).</w:t>
      </w:r>
    </w:p>
    <w:p w14:paraId="373651F9" w14:textId="77777777" w:rsidR="00FD53FE" w:rsidRDefault="005B12BF">
      <w:pPr>
        <w:spacing w:after="75"/>
        <w:ind w:firstLine="240"/>
        <w:jc w:val="both"/>
      </w:pPr>
      <w:bookmarkStart w:id="29" w:name="30"/>
      <w:bookmarkEnd w:id="28"/>
      <w:r>
        <w:rPr>
          <w:rFonts w:ascii="Times New Roman" w:hAnsi="Times New Roman"/>
          <w:color w:val="000000"/>
          <w:sz w:val="24"/>
        </w:rPr>
        <w:t>У разі прийняття НКЦПФР постанови про відмову у погодженні особи, зазначеної у пунктах 1, 2 розділу I цього Порядку, з підстави невідповідності особи вимогам законодавства в частині професійної придатності, яка встановлена за результатами комплексної оцінки, професійний учасник може повторно подати до НКЦПФР документи для погодження такої особи не більше двох разів, кожен з яких не раніше ніж через місяць з дня прийняття НКЦПФР постанови, передбаченої цим абзацом.".</w:t>
      </w:r>
    </w:p>
    <w:p w14:paraId="39F38F34" w14:textId="77777777" w:rsidR="00FD53FE" w:rsidRDefault="005B12BF">
      <w:pPr>
        <w:spacing w:after="75"/>
        <w:ind w:firstLine="240"/>
        <w:jc w:val="both"/>
      </w:pPr>
      <w:bookmarkStart w:id="30" w:name="31"/>
      <w:bookmarkEnd w:id="29"/>
      <w:r>
        <w:rPr>
          <w:rFonts w:ascii="Times New Roman" w:hAnsi="Times New Roman"/>
          <w:color w:val="000000"/>
          <w:sz w:val="24"/>
        </w:rPr>
        <w:t>2. Департаменту методології забезпечити подання цього рішення на державну реєстрацію до Міністерства юстиції України.</w:t>
      </w:r>
    </w:p>
    <w:p w14:paraId="4FC99E3F" w14:textId="77777777" w:rsidR="00FD53FE" w:rsidRDefault="005B12BF">
      <w:pPr>
        <w:spacing w:after="75"/>
        <w:ind w:firstLine="240"/>
        <w:jc w:val="both"/>
      </w:pPr>
      <w:bookmarkStart w:id="31" w:name="32"/>
      <w:bookmarkEnd w:id="30"/>
      <w:r>
        <w:rPr>
          <w:rFonts w:ascii="Times New Roman" w:hAnsi="Times New Roman"/>
          <w:color w:val="000000"/>
          <w:sz w:val="24"/>
        </w:rPr>
        <w:t>3. Управлінню адміністративної діяльності забезпечити оприлюднення цього рішення на офіційному вебсайті Національної комісії з цінних паперів та фондового ринку.</w:t>
      </w:r>
    </w:p>
    <w:p w14:paraId="04C8C75C" w14:textId="77777777" w:rsidR="00FD53FE" w:rsidRDefault="005B12BF">
      <w:pPr>
        <w:spacing w:after="75"/>
        <w:ind w:firstLine="240"/>
        <w:jc w:val="both"/>
      </w:pPr>
      <w:bookmarkStart w:id="32" w:name="33"/>
      <w:bookmarkEnd w:id="31"/>
      <w:r>
        <w:rPr>
          <w:rFonts w:ascii="Times New Roman" w:hAnsi="Times New Roman"/>
          <w:color w:val="000000"/>
          <w:sz w:val="24"/>
        </w:rPr>
        <w:t>4. Департаменту правового розвитку, після державної реєстрації рішення Міністерством юстиції України, забезпечити опублікування цього рішення на офіційному вебсайті Національної комісії з цінних паперів та фондового ринку.</w:t>
      </w:r>
    </w:p>
    <w:p w14:paraId="2594BA30" w14:textId="77777777" w:rsidR="00FD53FE" w:rsidRDefault="005B12BF">
      <w:pPr>
        <w:spacing w:after="75"/>
        <w:ind w:firstLine="240"/>
        <w:jc w:val="both"/>
      </w:pPr>
      <w:bookmarkStart w:id="33" w:name="34"/>
      <w:bookmarkEnd w:id="32"/>
      <w:r>
        <w:rPr>
          <w:rFonts w:ascii="Times New Roman" w:hAnsi="Times New Roman"/>
          <w:color w:val="000000"/>
          <w:sz w:val="24"/>
        </w:rPr>
        <w:t>5. Це рішення набирає чинності з дня його офіційного опублікування.</w:t>
      </w:r>
    </w:p>
    <w:p w14:paraId="55B78BE4" w14:textId="77777777" w:rsidR="00FD53FE" w:rsidRDefault="005B12BF">
      <w:pPr>
        <w:spacing w:after="75"/>
        <w:ind w:firstLine="240"/>
        <w:jc w:val="both"/>
      </w:pPr>
      <w:bookmarkStart w:id="34" w:name="35"/>
      <w:bookmarkEnd w:id="33"/>
      <w:r>
        <w:rPr>
          <w:rFonts w:ascii="Times New Roman" w:hAnsi="Times New Roman"/>
          <w:color w:val="000000"/>
          <w:sz w:val="24"/>
        </w:rPr>
        <w:t xml:space="preserve">6. Контроль за виконанням цього рішення покласти на члена Національної комісії з цінних паперів та фондового ринку М. </w:t>
      </w:r>
      <w:proofErr w:type="spellStart"/>
      <w:r>
        <w:rPr>
          <w:rFonts w:ascii="Times New Roman" w:hAnsi="Times New Roman"/>
          <w:color w:val="000000"/>
          <w:sz w:val="24"/>
        </w:rPr>
        <w:t>Лібанова</w:t>
      </w:r>
      <w:proofErr w:type="spellEnd"/>
      <w:r>
        <w:rPr>
          <w:rFonts w:ascii="Times New Roman" w:hAnsi="Times New Roman"/>
          <w:color w:val="000000"/>
          <w:sz w:val="24"/>
        </w:rPr>
        <w:t>.</w:t>
      </w:r>
    </w:p>
    <w:p w14:paraId="7D7E9C77" w14:textId="77777777" w:rsidR="00FD53FE" w:rsidRDefault="005B12BF">
      <w:pPr>
        <w:spacing w:after="75"/>
        <w:ind w:firstLine="240"/>
        <w:jc w:val="both"/>
      </w:pPr>
      <w:bookmarkStart w:id="35" w:name="36"/>
      <w:bookmarkEnd w:id="34"/>
      <w:r>
        <w:rPr>
          <w:rFonts w:ascii="Times New Roman" w:hAnsi="Times New Roman"/>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498"/>
        <w:gridCol w:w="4529"/>
      </w:tblGrid>
      <w:tr w:rsidR="00FD53FE" w14:paraId="6E22F900" w14:textId="77777777">
        <w:trPr>
          <w:trHeight w:val="30"/>
          <w:tblCellSpacing w:w="0" w:type="auto"/>
        </w:trPr>
        <w:tc>
          <w:tcPr>
            <w:tcW w:w="4845" w:type="dxa"/>
            <w:vAlign w:val="center"/>
          </w:tcPr>
          <w:p w14:paraId="7D457DFC" w14:textId="77777777" w:rsidR="00FD53FE" w:rsidRDefault="005B12BF">
            <w:pPr>
              <w:spacing w:after="75"/>
              <w:jc w:val="center"/>
            </w:pPr>
            <w:bookmarkStart w:id="36" w:name="37"/>
            <w:bookmarkEnd w:id="35"/>
            <w:r>
              <w:rPr>
                <w:rFonts w:ascii="Times New Roman" w:hAnsi="Times New Roman"/>
                <w:b/>
                <w:color w:val="000000"/>
                <w:sz w:val="15"/>
              </w:rPr>
              <w:t>Голова Комісії</w:t>
            </w:r>
          </w:p>
        </w:tc>
        <w:tc>
          <w:tcPr>
            <w:tcW w:w="4845" w:type="dxa"/>
            <w:vAlign w:val="center"/>
          </w:tcPr>
          <w:p w14:paraId="6DFF1704" w14:textId="77777777" w:rsidR="00FD53FE" w:rsidRDefault="005B12BF">
            <w:pPr>
              <w:spacing w:after="75"/>
              <w:jc w:val="center"/>
            </w:pPr>
            <w:bookmarkStart w:id="37" w:name="38"/>
            <w:bookmarkEnd w:id="36"/>
            <w:r>
              <w:rPr>
                <w:rFonts w:ascii="Times New Roman" w:hAnsi="Times New Roman"/>
                <w:b/>
                <w:color w:val="000000"/>
                <w:sz w:val="15"/>
              </w:rPr>
              <w:t>Олексій СЕМЕНЮК</w:t>
            </w:r>
          </w:p>
        </w:tc>
        <w:bookmarkEnd w:id="37"/>
      </w:tr>
    </w:tbl>
    <w:p w14:paraId="4EB75B47" w14:textId="77777777" w:rsidR="00FD53FE" w:rsidRDefault="005B12BF">
      <w:pPr>
        <w:spacing w:after="75"/>
        <w:ind w:firstLine="240"/>
        <w:jc w:val="both"/>
      </w:pPr>
      <w:bookmarkStart w:id="38" w:name="39"/>
      <w:r>
        <w:rPr>
          <w:rFonts w:ascii="Times New Roman" w:hAnsi="Times New Roman"/>
          <w:color w:val="000000"/>
          <w:sz w:val="24"/>
        </w:rPr>
        <w:t xml:space="preserve"> </w:t>
      </w:r>
    </w:p>
    <w:p w14:paraId="6B358A62" w14:textId="77777777" w:rsidR="00FD53FE" w:rsidRDefault="005B12BF">
      <w:pPr>
        <w:spacing w:after="75"/>
        <w:ind w:firstLine="240"/>
        <w:jc w:val="right"/>
      </w:pPr>
      <w:bookmarkStart w:id="39" w:name="40"/>
      <w:bookmarkEnd w:id="38"/>
      <w:r>
        <w:rPr>
          <w:rFonts w:ascii="Times New Roman" w:hAnsi="Times New Roman"/>
          <w:color w:val="000000"/>
          <w:sz w:val="24"/>
        </w:rPr>
        <w:t>Протокол засідання Комісії</w:t>
      </w:r>
      <w:r>
        <w:br/>
      </w:r>
      <w:r>
        <w:rPr>
          <w:rFonts w:ascii="Times New Roman" w:hAnsi="Times New Roman"/>
          <w:color w:val="000000"/>
          <w:sz w:val="24"/>
        </w:rPr>
        <w:t>від 04 березня 2026 р. N 10</w:t>
      </w:r>
    </w:p>
    <w:p w14:paraId="000AB868" w14:textId="77777777" w:rsidR="00FD53FE" w:rsidRDefault="00FD53FE">
      <w:pPr>
        <w:spacing w:after="75"/>
        <w:ind w:firstLine="240"/>
        <w:jc w:val="both"/>
      </w:pPr>
      <w:bookmarkStart w:id="40" w:name="41"/>
      <w:bookmarkEnd w:id="39"/>
    </w:p>
    <w:tbl>
      <w:tblPr>
        <w:tblW w:w="0" w:type="auto"/>
        <w:tblCellSpacing w:w="30" w:type="dxa"/>
        <w:tblLook w:val="04A0" w:firstRow="1" w:lastRow="0" w:firstColumn="1" w:lastColumn="0" w:noHBand="0" w:noVBand="1"/>
      </w:tblPr>
      <w:tblGrid>
        <w:gridCol w:w="5453"/>
        <w:gridCol w:w="2578"/>
        <w:gridCol w:w="901"/>
        <w:gridCol w:w="95"/>
      </w:tblGrid>
      <w:tr w:rsidR="00FD53FE" w14:paraId="01081D87" w14:textId="77777777">
        <w:trPr>
          <w:gridAfter w:val="1"/>
          <w:wAfter w:w="5" w:type="dxa"/>
          <w:trHeight w:val="30"/>
          <w:tblCellSpacing w:w="30" w:type="dxa"/>
        </w:trPr>
        <w:tc>
          <w:tcPr>
            <w:tcW w:w="6673" w:type="dxa"/>
            <w:vAlign w:val="center"/>
          </w:tcPr>
          <w:bookmarkEnd w:id="40"/>
          <w:p w14:paraId="3651295A" w14:textId="77777777" w:rsidR="00FD53FE" w:rsidRDefault="005B12BF">
            <w:r>
              <w:rPr>
                <w:noProof/>
                <w:lang w:val="en-US" w:eastAsia="en-US"/>
              </w:rPr>
              <w:lastRenderedPageBreak/>
              <w:drawing>
                <wp:inline distT="0" distB="0" distL="0" distR="0" wp14:anchorId="35AB8F17" wp14:editId="119D25A6">
                  <wp:extent cx="1016000" cy="177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16000" cy="177800"/>
                          </a:xfrm>
                          <a:prstGeom prst="rect">
                            <a:avLst/>
                          </a:prstGeom>
                        </pic:spPr>
                      </pic:pic>
                    </a:graphicData>
                  </a:graphic>
                </wp:inline>
              </w:drawing>
            </w:r>
          </w:p>
        </w:tc>
        <w:tc>
          <w:tcPr>
            <w:tcW w:w="2957" w:type="dxa"/>
            <w:gridSpan w:val="2"/>
            <w:vAlign w:val="center"/>
          </w:tcPr>
          <w:p w14:paraId="62AC24AE" w14:textId="77777777" w:rsidR="00FD53FE" w:rsidRDefault="00FD53FE"/>
        </w:tc>
      </w:tr>
      <w:tr w:rsidR="00FD53FE" w14:paraId="481C2789" w14:textId="77777777">
        <w:trPr>
          <w:gridAfter w:val="1"/>
          <w:wAfter w:w="5" w:type="dxa"/>
          <w:trHeight w:val="30"/>
          <w:tblCellSpacing w:w="30" w:type="dxa"/>
        </w:trPr>
        <w:tc>
          <w:tcPr>
            <w:tcW w:w="0" w:type="auto"/>
            <w:gridSpan w:val="3"/>
            <w:vAlign w:val="center"/>
          </w:tcPr>
          <w:p w14:paraId="2F617041" w14:textId="77777777" w:rsidR="00FD53FE" w:rsidRDefault="005B12BF">
            <w:r>
              <w:rPr>
                <w:rFonts w:ascii="Arial" w:hAnsi="Arial"/>
                <w:b/>
                <w:color w:val="000000"/>
                <w:sz w:val="21"/>
              </w:rPr>
              <w:t>Про внесення змін до Порядку погодження особи, призначеної на посаду керівника професійного учасника ринків капіталу та організованих товарних ринків, посадових осіб системи внутрішнього контролю та осіб, відповідальних за здійснення фінансового моніторингу</w:t>
            </w:r>
          </w:p>
        </w:tc>
      </w:tr>
      <w:tr w:rsidR="00FD53FE" w14:paraId="72F5A402" w14:textId="77777777">
        <w:trPr>
          <w:gridAfter w:val="1"/>
          <w:wAfter w:w="5" w:type="dxa"/>
          <w:trHeight w:val="30"/>
          <w:tblCellSpacing w:w="30" w:type="dxa"/>
        </w:trPr>
        <w:tc>
          <w:tcPr>
            <w:tcW w:w="6673" w:type="dxa"/>
            <w:vAlign w:val="center"/>
          </w:tcPr>
          <w:p w14:paraId="7B258167" w14:textId="77777777" w:rsidR="00FD53FE" w:rsidRDefault="005B12BF">
            <w:r>
              <w:rPr>
                <w:rFonts w:ascii="Arial" w:hAnsi="Arial"/>
                <w:b/>
                <w:color w:val="000000"/>
                <w:sz w:val="21"/>
              </w:rPr>
              <w:t>Рішення</w:t>
            </w:r>
            <w:r>
              <w:rPr>
                <w:rFonts w:ascii="Arial" w:hAnsi="Arial"/>
                <w:color w:val="000000"/>
                <w:sz w:val="21"/>
              </w:rPr>
              <w:t xml:space="preserve"> від </w:t>
            </w:r>
            <w:r>
              <w:rPr>
                <w:rFonts w:ascii="Arial" w:hAnsi="Arial"/>
                <w:b/>
                <w:color w:val="000000"/>
                <w:sz w:val="21"/>
              </w:rPr>
              <w:t>04.03.2026</w:t>
            </w:r>
            <w:r>
              <w:rPr>
                <w:rFonts w:ascii="Arial" w:hAnsi="Arial"/>
                <w:color w:val="000000"/>
                <w:sz w:val="21"/>
              </w:rPr>
              <w:t xml:space="preserve"> № </w:t>
            </w:r>
            <w:r>
              <w:rPr>
                <w:rFonts w:ascii="Arial" w:hAnsi="Arial"/>
                <w:b/>
                <w:color w:val="000000"/>
                <w:sz w:val="21"/>
              </w:rPr>
              <w:t>09/21/3859/К03</w:t>
            </w:r>
          </w:p>
          <w:p w14:paraId="68E251A3" w14:textId="77777777" w:rsidR="00FD53FE" w:rsidRDefault="005B12BF">
            <w:r>
              <w:rPr>
                <w:rFonts w:ascii="Arial" w:hAnsi="Arial"/>
                <w:color w:val="000000"/>
                <w:sz w:val="21"/>
              </w:rPr>
              <w:t xml:space="preserve">Статус: </w:t>
            </w:r>
            <w:r>
              <w:rPr>
                <w:rFonts w:ascii="Arial" w:hAnsi="Arial"/>
                <w:b/>
                <w:color w:val="000000"/>
                <w:sz w:val="21"/>
              </w:rPr>
              <w:t>Чинний</w:t>
            </w:r>
          </w:p>
          <w:p w14:paraId="4D62D8EB" w14:textId="77777777" w:rsidR="00FD53FE" w:rsidRDefault="005B12BF">
            <w:r>
              <w:rPr>
                <w:rFonts w:ascii="Arial" w:hAnsi="Arial"/>
                <w:color w:val="000000"/>
                <w:sz w:val="21"/>
              </w:rPr>
              <w:t xml:space="preserve">Чинна редакція: </w:t>
            </w:r>
            <w:r>
              <w:rPr>
                <w:rFonts w:ascii="Arial" w:hAnsi="Arial"/>
                <w:b/>
                <w:color w:val="000000"/>
                <w:sz w:val="21"/>
              </w:rPr>
              <w:t>04.03.2026</w:t>
            </w:r>
            <w:r>
              <w:rPr>
                <w:rFonts w:ascii="Arial" w:hAnsi="Arial"/>
                <w:color w:val="000000"/>
                <w:sz w:val="21"/>
              </w:rPr>
              <w:t xml:space="preserve"> (діє з </w:t>
            </w:r>
            <w:r>
              <w:rPr>
                <w:rFonts w:ascii="Arial" w:hAnsi="Arial"/>
                <w:b/>
                <w:color w:val="000000"/>
                <w:sz w:val="21"/>
              </w:rPr>
              <w:t>17.03.2026</w:t>
            </w:r>
            <w:r>
              <w:rPr>
                <w:rFonts w:ascii="Arial" w:hAnsi="Arial"/>
                <w:color w:val="000000"/>
                <w:sz w:val="21"/>
              </w:rPr>
              <w:t>)</w:t>
            </w:r>
          </w:p>
          <w:p w14:paraId="64288F21" w14:textId="77777777" w:rsidR="00FD53FE" w:rsidRDefault="005B12BF">
            <w:r>
              <w:rPr>
                <w:rFonts w:ascii="Arial" w:hAnsi="Arial"/>
                <w:b/>
                <w:color w:val="000000"/>
                <w:sz w:val="21"/>
              </w:rPr>
              <w:t>Офіційне оприлюднення:</w:t>
            </w:r>
            <w:r>
              <w:rPr>
                <w:rFonts w:ascii="Arial" w:hAnsi="Arial"/>
                <w:color w:val="000000"/>
                <w:sz w:val="21"/>
              </w:rPr>
              <w:t xml:space="preserve"> </w:t>
            </w:r>
          </w:p>
          <w:p w14:paraId="0307C414" w14:textId="77777777" w:rsidR="00FD53FE" w:rsidRDefault="005B12BF">
            <w:pPr>
              <w:numPr>
                <w:ilvl w:val="0"/>
                <w:numId w:val="3"/>
              </w:numPr>
            </w:pPr>
            <w:r>
              <w:rPr>
                <w:rFonts w:ascii="Arial" w:hAnsi="Arial"/>
                <w:color w:val="000000"/>
                <w:sz w:val="21"/>
              </w:rPr>
              <w:t>Офіційний веб-сайт Національної комісії з цінних паперів та фондового ринку, 2026, 03, 17.03.2026</w:t>
            </w:r>
          </w:p>
          <w:p w14:paraId="5BF9D3A2" w14:textId="77777777" w:rsidR="00FD53FE" w:rsidRDefault="005B12BF">
            <w:r>
              <w:rPr>
                <w:rFonts w:ascii="Arial" w:hAnsi="Arial"/>
                <w:b/>
                <w:color w:val="000000"/>
                <w:sz w:val="21"/>
              </w:rPr>
              <w:t>Єдиний державний реєстр НПА:</w:t>
            </w:r>
          </w:p>
          <w:p w14:paraId="1A38D9AE" w14:textId="77777777" w:rsidR="00FD53FE" w:rsidRDefault="005B12BF">
            <w:pPr>
              <w:numPr>
                <w:ilvl w:val="0"/>
                <w:numId w:val="4"/>
              </w:numPr>
            </w:pPr>
            <w:r>
              <w:rPr>
                <w:rFonts w:ascii="Arial" w:hAnsi="Arial"/>
                <w:color w:val="000000"/>
                <w:sz w:val="21"/>
              </w:rPr>
              <w:t>Дата рішення: 18.03.2026</w:t>
            </w:r>
          </w:p>
          <w:p w14:paraId="12039AF1" w14:textId="77777777" w:rsidR="00FD53FE" w:rsidRDefault="005B12BF">
            <w:pPr>
              <w:numPr>
                <w:ilvl w:val="0"/>
                <w:numId w:val="4"/>
              </w:numPr>
            </w:pPr>
            <w:r>
              <w:rPr>
                <w:rFonts w:ascii="Arial" w:hAnsi="Arial"/>
                <w:color w:val="000000"/>
                <w:sz w:val="21"/>
              </w:rPr>
              <w:t>Номер рішення: 1388</w:t>
            </w:r>
          </w:p>
          <w:p w14:paraId="2F5BC1E7" w14:textId="77777777" w:rsidR="00FD53FE" w:rsidRDefault="005B12BF">
            <w:pPr>
              <w:numPr>
                <w:ilvl w:val="0"/>
                <w:numId w:val="4"/>
              </w:numPr>
            </w:pPr>
            <w:r>
              <w:rPr>
                <w:rFonts w:ascii="Arial" w:hAnsi="Arial"/>
                <w:color w:val="000000"/>
                <w:sz w:val="21"/>
              </w:rPr>
              <w:t>Реєстраційний код: 138312/2026</w:t>
            </w:r>
          </w:p>
        </w:tc>
        <w:tc>
          <w:tcPr>
            <w:tcW w:w="2957" w:type="dxa"/>
            <w:gridSpan w:val="2"/>
            <w:vAlign w:val="center"/>
          </w:tcPr>
          <w:p w14:paraId="6E2A9727" w14:textId="77777777" w:rsidR="00FD53FE" w:rsidRDefault="005B12BF">
            <w:r>
              <w:rPr>
                <w:noProof/>
                <w:lang w:val="en-US" w:eastAsia="en-US"/>
              </w:rPr>
              <w:drawing>
                <wp:inline distT="0" distB="0" distL="0" distR="0" wp14:anchorId="54B9FEEF" wp14:editId="7E760869">
                  <wp:extent cx="1397000" cy="1397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97000" cy="1397000"/>
                          </a:xfrm>
                          <a:prstGeom prst="rect">
                            <a:avLst/>
                          </a:prstGeom>
                        </pic:spPr>
                      </pic:pic>
                    </a:graphicData>
                  </a:graphic>
                </wp:inline>
              </w:drawing>
            </w:r>
          </w:p>
        </w:tc>
      </w:tr>
      <w:tr w:rsidR="00FD53FE" w14:paraId="0CDC6E8B" w14:textId="77777777">
        <w:trPr>
          <w:gridAfter w:val="1"/>
          <w:wAfter w:w="5" w:type="dxa"/>
          <w:trHeight w:val="30"/>
          <w:tblCellSpacing w:w="30" w:type="dxa"/>
        </w:trPr>
        <w:tc>
          <w:tcPr>
            <w:tcW w:w="0" w:type="auto"/>
            <w:gridSpan w:val="3"/>
            <w:vAlign w:val="center"/>
          </w:tcPr>
          <w:p w14:paraId="54A1CFD8" w14:textId="77777777" w:rsidR="00FD53FE" w:rsidRDefault="005B12BF">
            <w:r>
              <w:rPr>
                <w:rFonts w:ascii="Arial" w:hAnsi="Arial"/>
                <w:color w:val="000000"/>
                <w:sz w:val="21"/>
              </w:rPr>
              <w:t>Адреса документа:</w:t>
            </w:r>
          </w:p>
          <w:p w14:paraId="5EAF79B1" w14:textId="77777777" w:rsidR="00FD53FE" w:rsidRDefault="005B12BF">
            <w:r>
              <w:rPr>
                <w:rFonts w:ascii="Arial" w:hAnsi="Arial"/>
                <w:color w:val="000000"/>
                <w:sz w:val="21"/>
              </w:rPr>
              <w:t xml:space="preserve"> </w:t>
            </w:r>
            <w:r>
              <w:rPr>
                <w:rFonts w:ascii="Arial" w:hAnsi="Arial"/>
                <w:b/>
                <w:color w:val="000000"/>
                <w:sz w:val="18"/>
              </w:rPr>
              <w:t>https://zakon-pro.ligazakon.net/document/RE45739</w:t>
            </w:r>
          </w:p>
        </w:tc>
      </w:tr>
      <w:tr w:rsidR="00FD53FE" w14:paraId="73B93A0A" w14:textId="77777777">
        <w:tblPrEx>
          <w:tblCellSpacing w:w="0" w:type="auto"/>
          <w:tblBorders>
            <w:top w:val="single" w:sz="8" w:space="0" w:color="E5E2FF"/>
          </w:tblBorders>
        </w:tblPrEx>
        <w:trPr>
          <w:trHeight w:val="195"/>
          <w:tblCellSpacing w:w="0" w:type="auto"/>
        </w:trPr>
        <w:tc>
          <w:tcPr>
            <w:tcW w:w="8721" w:type="dxa"/>
            <w:gridSpan w:val="2"/>
            <w:vAlign w:val="center"/>
          </w:tcPr>
          <w:p w14:paraId="7F898BE8" w14:textId="77777777" w:rsidR="00FD53FE" w:rsidRDefault="005B12BF">
            <w:pPr>
              <w:spacing w:after="0"/>
            </w:pPr>
            <w:r>
              <w:rPr>
                <w:rFonts w:ascii="Arial" w:hAnsi="Arial"/>
                <w:color w:val="000000"/>
                <w:sz w:val="18"/>
              </w:rPr>
              <w:t>© ТОВ "Інформаційно-аналітичний центр "ЛІГА", 2026</w:t>
            </w:r>
            <w:r>
              <w:br/>
            </w:r>
            <w:r>
              <w:rPr>
                <w:rFonts w:ascii="Arial" w:hAnsi="Arial"/>
                <w:color w:val="000000"/>
                <w:sz w:val="18"/>
              </w:rPr>
              <w:t>© ТОВ "ЛІГА ЗАКОН", 2026</w:t>
            </w:r>
          </w:p>
        </w:tc>
        <w:tc>
          <w:tcPr>
            <w:tcW w:w="969" w:type="dxa"/>
            <w:gridSpan w:val="2"/>
            <w:vAlign w:val="center"/>
          </w:tcPr>
          <w:p w14:paraId="5AC93313" w14:textId="77777777" w:rsidR="00FD53FE" w:rsidRDefault="00FD53FE">
            <w:pPr>
              <w:spacing w:after="0"/>
            </w:pPr>
          </w:p>
        </w:tc>
      </w:tr>
    </w:tbl>
    <w:p w14:paraId="23F47F2E" w14:textId="77777777" w:rsidR="005B12BF" w:rsidRDefault="005B12BF"/>
    <w:sectPr w:rsidR="005B12B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CB2344"/>
    <w:multiLevelType w:val="multilevel"/>
    <w:tmpl w:val="5F06D9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7456E0"/>
    <w:multiLevelType w:val="multilevel"/>
    <w:tmpl w:val="3F5C32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78768693">
    <w:abstractNumId w:val="3"/>
  </w:num>
  <w:num w:numId="2" w16cid:durableId="336080026">
    <w:abstractNumId w:val="0"/>
  </w:num>
  <w:num w:numId="3" w16cid:durableId="1889797223">
    <w:abstractNumId w:val="2"/>
  </w:num>
  <w:num w:numId="4" w16cid:durableId="2049640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3FE"/>
    <w:rsid w:val="005B12BF"/>
    <w:rsid w:val="00770775"/>
    <w:rsid w:val="00C75D25"/>
    <w:rsid w:val="00D966AB"/>
    <w:rsid w:val="00FD5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4959"/>
  <w15:docId w15:val="{421A040B-9809-4EB1-8456-B0DDF4E4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4598</Words>
  <Characters>2621</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Sergiy Kutsy</cp:lastModifiedBy>
  <cp:revision>2</cp:revision>
  <dcterms:created xsi:type="dcterms:W3CDTF">2026-03-24T08:09:00Z</dcterms:created>
  <dcterms:modified xsi:type="dcterms:W3CDTF">2026-03-24T08:09:00Z</dcterms:modified>
</cp:coreProperties>
</file>