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gif" ContentType="image/gif"/>
  <Override PartName="/word/media/image2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ind w:left="0" w:hanging="0"/>
        <w:jc w:val="center"/>
        <w:rPr/>
      </w:pPr>
      <w:r>
        <w:rPr/>
        <w:drawing>
          <wp:inline distT="0" distB="0" distL="0" distR="0">
            <wp:extent cx="711200" cy="1193800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200" cy="1193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1"/>
      <w:bookmarkEnd w:id="0"/>
    </w:p>
    <w:p>
      <w:pPr>
        <w:pStyle w:val="2"/>
        <w:spacing w:before="200" w:after="0"/>
        <w:ind w:left="0" w:hanging="0"/>
        <w:jc w:val="center"/>
        <w:rPr/>
      </w:pPr>
      <w:r>
        <w:rPr>
          <w:rFonts w:ascii="Arial" w:hAnsi="Arial"/>
          <w:color w:val="000000"/>
          <w:sz w:val="27"/>
        </w:rPr>
        <w:t>НАЦІОНАЛЬНА КОМІСІЯ З ЦІННИХ ПАПЕРІВ ТА ФОНДОВОГО РИНКУ</w:t>
      </w:r>
      <w:bookmarkStart w:id="1" w:name="2"/>
      <w:bookmarkEnd w:id="1"/>
    </w:p>
    <w:p>
      <w:pPr>
        <w:pStyle w:val="2"/>
        <w:spacing w:before="200" w:after="0"/>
        <w:ind w:left="0" w:hanging="0"/>
        <w:jc w:val="center"/>
        <w:rPr/>
      </w:pPr>
      <w:r>
        <w:rPr>
          <w:rFonts w:ascii="Arial" w:hAnsi="Arial"/>
          <w:color w:val="000000"/>
          <w:sz w:val="27"/>
        </w:rPr>
        <w:t>РІШЕННЯ</w:t>
      </w:r>
      <w:bookmarkStart w:id="2" w:name="3"/>
      <w:bookmarkEnd w:id="2"/>
    </w:p>
    <w:tbl>
      <w:tblPr>
        <w:tblW w:w="969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92"/>
        <w:gridCol w:w="2908"/>
        <w:gridCol w:w="3391"/>
      </w:tblGrid>
      <w:tr>
        <w:trPr>
          <w:trHeight w:val="30" w:hRule="atLeast"/>
        </w:trPr>
        <w:tc>
          <w:tcPr>
            <w:tcW w:w="3392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ind w:left="0" w:hanging="0"/>
              <w:jc w:val="center"/>
              <w:rPr/>
            </w:pPr>
            <w:r>
              <w:rPr>
                <w:rFonts w:ascii="Arial" w:hAnsi="Arial"/>
                <w:b/>
                <w:i w:val="false"/>
                <w:color w:val="000000"/>
                <w:sz w:val="15"/>
              </w:rPr>
              <w:t>13.06.2022</w:t>
            </w:r>
            <w:bookmarkStart w:id="3" w:name="4"/>
            <w:bookmarkEnd w:id="3"/>
          </w:p>
        </w:tc>
        <w:tc>
          <w:tcPr>
            <w:tcW w:w="2908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ind w:left="0" w:hanging="0"/>
              <w:jc w:val="center"/>
              <w:rPr/>
            </w:pPr>
            <w:r>
              <w:rPr>
                <w:rFonts w:ascii="Arial" w:hAnsi="Arial"/>
                <w:b/>
                <w:i w:val="false"/>
                <w:color w:val="000000"/>
                <w:sz w:val="15"/>
              </w:rPr>
              <w:t>м. Київ</w:t>
            </w:r>
            <w:bookmarkStart w:id="4" w:name="5"/>
            <w:bookmarkEnd w:id="4"/>
          </w:p>
        </w:tc>
        <w:tc>
          <w:tcPr>
            <w:tcW w:w="3391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ind w:left="0" w:hanging="0"/>
              <w:jc w:val="center"/>
              <w:rPr/>
            </w:pPr>
            <w:r>
              <w:rPr>
                <w:rFonts w:ascii="Arial" w:hAnsi="Arial"/>
                <w:b/>
                <w:i w:val="false"/>
                <w:color w:val="000000"/>
                <w:sz w:val="15"/>
              </w:rPr>
              <w:t>N 620</w:t>
            </w:r>
            <w:bookmarkStart w:id="5" w:name="6"/>
            <w:bookmarkEnd w:id="5"/>
          </w:p>
        </w:tc>
      </w:tr>
    </w:tbl>
    <w:p>
      <w:pPr>
        <w:pStyle w:val="Normal"/>
        <w:ind w:left="0" w:hanging="0"/>
        <w:jc w:val="left"/>
        <w:rPr/>
      </w:pPr>
      <w:r>
        <w:rPr/>
        <w:br/>
      </w:r>
    </w:p>
    <w:p>
      <w:pPr>
        <w:pStyle w:val="Normal"/>
        <w:spacing w:before="0" w:after="0"/>
        <w:ind w:left="0" w:hanging="0"/>
        <w:jc w:val="center"/>
        <w:rPr/>
      </w:pPr>
      <w:r>
        <w:rPr>
          <w:rFonts w:ascii="Arial" w:hAnsi="Arial"/>
          <w:b/>
          <w:i w:val="false"/>
          <w:color w:val="000000"/>
          <w:sz w:val="18"/>
        </w:rPr>
        <w:t>Зареєстровано в Міністерстві юстиції України</w:t>
      </w:r>
      <w:r>
        <w:rPr/>
        <w:br/>
      </w:r>
      <w:r>
        <w:rPr>
          <w:rFonts w:ascii="Arial" w:hAnsi="Arial"/>
          <w:b/>
          <w:i w:val="false"/>
          <w:color w:val="000000"/>
          <w:sz w:val="18"/>
        </w:rPr>
        <w:t>10 серпня 2022 р. за N 909/38245</w:t>
      </w:r>
      <w:bookmarkStart w:id="6" w:name="7"/>
      <w:bookmarkEnd w:id="6"/>
    </w:p>
    <w:p>
      <w:pPr>
        <w:pStyle w:val="2"/>
        <w:spacing w:before="200" w:after="0"/>
        <w:ind w:left="0" w:hanging="0"/>
        <w:jc w:val="center"/>
        <w:rPr/>
      </w:pPr>
      <w:r>
        <w:rPr>
          <w:rFonts w:ascii="Arial" w:hAnsi="Arial"/>
          <w:color w:val="000000"/>
          <w:sz w:val="27"/>
        </w:rPr>
        <w:t>Про затвердження Розмірів плати за реєстраційні дії щодо учасників ринків капіталу та інших осіб</w:t>
      </w:r>
      <w:bookmarkStart w:id="7" w:name="8"/>
      <w:bookmarkEnd w:id="7"/>
    </w:p>
    <w:p>
      <w:pPr>
        <w:pStyle w:val="Normal"/>
        <w:spacing w:before="0" w:after="0"/>
        <w:ind w:firstLine="240"/>
        <w:jc w:val="left"/>
        <w:rPr/>
      </w:pPr>
      <w:r>
        <w:rPr>
          <w:rFonts w:ascii="Arial" w:hAnsi="Arial"/>
          <w:b w:val="false"/>
          <w:i w:val="false"/>
          <w:color w:val="000000"/>
          <w:sz w:val="18"/>
        </w:rPr>
        <w:t>Відповідно до пункту 3 частини першої статті 8 Закону України "Про державне регулювання ринків капіталу та організованих товарних ринків", Національна комісія з цінних паперів та фондового ринку</w:t>
      </w:r>
      <w:bookmarkStart w:id="8" w:name="9"/>
      <w:bookmarkEnd w:id="8"/>
    </w:p>
    <w:p>
      <w:pPr>
        <w:pStyle w:val="Normal"/>
        <w:spacing w:before="0" w:after="0"/>
        <w:ind w:firstLine="240"/>
        <w:jc w:val="left"/>
        <w:rPr/>
      </w:pPr>
      <w:r>
        <w:rPr>
          <w:rFonts w:ascii="Arial" w:hAnsi="Arial"/>
          <w:b/>
          <w:i w:val="false"/>
          <w:color w:val="000000"/>
          <w:sz w:val="18"/>
        </w:rPr>
        <w:t>ВИРІШИЛА:</w:t>
      </w:r>
      <w:bookmarkStart w:id="9" w:name="10"/>
      <w:bookmarkEnd w:id="9"/>
    </w:p>
    <w:p>
      <w:pPr>
        <w:pStyle w:val="Normal"/>
        <w:spacing w:before="0" w:after="0"/>
        <w:ind w:firstLine="240"/>
        <w:jc w:val="left"/>
        <w:rPr/>
      </w:pPr>
      <w:r>
        <w:rPr>
          <w:rFonts w:ascii="Arial" w:hAnsi="Arial"/>
          <w:b w:val="false"/>
          <w:i w:val="false"/>
          <w:color w:val="000000"/>
          <w:sz w:val="18"/>
        </w:rPr>
        <w:t>1. Затвердити Розміри плати за реєстраційні дії щодо учасників ринків капіталу та інших осіб, що додаються.</w:t>
      </w:r>
      <w:bookmarkStart w:id="10" w:name="11"/>
      <w:bookmarkEnd w:id="10"/>
    </w:p>
    <w:p>
      <w:pPr>
        <w:pStyle w:val="Normal"/>
        <w:spacing w:before="0" w:after="0"/>
        <w:ind w:firstLine="240"/>
        <w:jc w:val="left"/>
        <w:rPr/>
      </w:pPr>
      <w:r>
        <w:rPr>
          <w:rFonts w:ascii="Arial" w:hAnsi="Arial"/>
          <w:b w:val="false"/>
          <w:i w:val="false"/>
          <w:color w:val="000000"/>
          <w:sz w:val="18"/>
        </w:rPr>
        <w:t>2. Визнати таким, що втратило чинність, рішення Державної комісії з цінних паперів та фондового ринку від 08 листопада 2011 року N 1615 "Про встановлення розмірів плати за надання Національною комісією з цінних паперів та фондового ринку адміністративних послуг", зареєстроване в Міністерстві юстиції України 02 грудня 2011 року за N 1394/20132.</w:t>
      </w:r>
      <w:bookmarkStart w:id="11" w:name="12"/>
      <w:bookmarkEnd w:id="11"/>
    </w:p>
    <w:p>
      <w:pPr>
        <w:pStyle w:val="Normal"/>
        <w:spacing w:before="0" w:after="0"/>
        <w:ind w:firstLine="240"/>
        <w:jc w:val="left"/>
        <w:rPr/>
      </w:pPr>
      <w:r>
        <w:rPr>
          <w:rFonts w:ascii="Arial" w:hAnsi="Arial"/>
          <w:b w:val="false"/>
          <w:i w:val="false"/>
          <w:color w:val="000000"/>
          <w:sz w:val="18"/>
        </w:rPr>
        <w:t>3. Юридичному департаменту (Мартиненко І. І.) забезпечити:</w:t>
      </w:r>
      <w:bookmarkStart w:id="12" w:name="13"/>
      <w:bookmarkEnd w:id="12"/>
    </w:p>
    <w:p>
      <w:pPr>
        <w:pStyle w:val="Normal"/>
        <w:spacing w:before="0" w:after="0"/>
        <w:ind w:firstLine="240"/>
        <w:jc w:val="left"/>
        <w:rPr/>
      </w:pPr>
      <w:r>
        <w:rPr>
          <w:rFonts w:ascii="Arial" w:hAnsi="Arial"/>
          <w:b w:val="false"/>
          <w:i w:val="false"/>
          <w:color w:val="000000"/>
          <w:sz w:val="18"/>
        </w:rPr>
        <w:t>подання цього рішення на державну реєстрацію до Міністерства юстиції України;</w:t>
      </w:r>
      <w:bookmarkStart w:id="13" w:name="14"/>
      <w:bookmarkEnd w:id="13"/>
    </w:p>
    <w:p>
      <w:pPr>
        <w:pStyle w:val="Normal"/>
        <w:spacing w:before="0" w:after="0"/>
        <w:ind w:firstLine="240"/>
        <w:jc w:val="left"/>
        <w:rPr/>
      </w:pPr>
      <w:r>
        <w:rPr>
          <w:rFonts w:ascii="Arial" w:hAnsi="Arial"/>
          <w:b w:val="false"/>
          <w:i w:val="false"/>
          <w:color w:val="000000"/>
          <w:sz w:val="18"/>
        </w:rPr>
        <w:t>оприлюднення цього рішення на офіційному вебсайті Національної комісії з цінних паперів та фондового ринку.</w:t>
      </w:r>
      <w:bookmarkStart w:id="14" w:name="15"/>
      <w:bookmarkEnd w:id="14"/>
    </w:p>
    <w:p>
      <w:pPr>
        <w:pStyle w:val="Normal"/>
        <w:spacing w:before="0" w:after="0"/>
        <w:ind w:firstLine="240"/>
        <w:jc w:val="left"/>
        <w:rPr/>
      </w:pPr>
      <w:r>
        <w:rPr>
          <w:rFonts w:ascii="Arial" w:hAnsi="Arial"/>
          <w:b w:val="false"/>
          <w:i w:val="false"/>
          <w:color w:val="000000"/>
          <w:sz w:val="18"/>
        </w:rPr>
        <w:t>4. Це рішення набирає чинності з дня його офіційного опублікування.</w:t>
      </w:r>
      <w:bookmarkStart w:id="15" w:name="16"/>
      <w:bookmarkEnd w:id="15"/>
    </w:p>
    <w:p>
      <w:pPr>
        <w:pStyle w:val="Normal"/>
        <w:spacing w:before="0" w:after="0"/>
        <w:ind w:firstLine="240"/>
        <w:jc w:val="left"/>
        <w:rPr/>
      </w:pPr>
      <w:r>
        <w:rPr>
          <w:rFonts w:ascii="Arial" w:hAnsi="Arial"/>
          <w:b w:val="false"/>
          <w:i w:val="false"/>
          <w:color w:val="000000"/>
          <w:sz w:val="18"/>
        </w:rPr>
        <w:t>5. Контроль за виконанням цього рішення покласти на члена Комісії Лібанова О. М.</w:t>
      </w:r>
      <w:bookmarkStart w:id="16" w:name="17"/>
      <w:bookmarkEnd w:id="16"/>
    </w:p>
    <w:p>
      <w:pPr>
        <w:pStyle w:val="Normal"/>
        <w:spacing w:before="0" w:after="0"/>
        <w:ind w:firstLine="240"/>
        <w:jc w:val="left"/>
        <w:rPr/>
      </w:pPr>
      <w:r>
        <w:rPr>
          <w:rFonts w:ascii="Arial" w:hAnsi="Arial"/>
          <w:b w:val="false"/>
          <w:i w:val="false"/>
          <w:color w:val="000000"/>
          <w:sz w:val="18"/>
        </w:rPr>
        <w:t xml:space="preserve"> </w:t>
      </w:r>
      <w:bookmarkStart w:id="17" w:name="18"/>
      <w:bookmarkEnd w:id="17"/>
    </w:p>
    <w:tbl>
      <w:tblPr>
        <w:tblW w:w="969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45"/>
        <w:gridCol w:w="4845"/>
      </w:tblGrid>
      <w:tr>
        <w:trPr>
          <w:trHeight w:val="120" w:hRule="atLeast"/>
        </w:trPr>
        <w:tc>
          <w:tcPr>
            <w:tcW w:w="4845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ind w:left="0" w:hanging="0"/>
              <w:jc w:val="center"/>
              <w:rPr/>
            </w:pPr>
            <w:r>
              <w:rPr>
                <w:rFonts w:ascii="Arial" w:hAnsi="Arial"/>
                <w:b/>
                <w:i w:val="false"/>
                <w:color w:val="000000"/>
                <w:sz w:val="15"/>
              </w:rPr>
              <w:t>Голова Комісії</w:t>
            </w:r>
            <w:bookmarkStart w:id="18" w:name="19"/>
            <w:bookmarkEnd w:id="18"/>
          </w:p>
        </w:tc>
        <w:tc>
          <w:tcPr>
            <w:tcW w:w="4845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ind w:left="0" w:hanging="0"/>
              <w:jc w:val="center"/>
              <w:rPr/>
            </w:pPr>
            <w:r>
              <w:rPr>
                <w:rFonts w:ascii="Arial" w:hAnsi="Arial"/>
                <w:b/>
                <w:i w:val="false"/>
                <w:color w:val="000000"/>
                <w:sz w:val="15"/>
              </w:rPr>
              <w:t>Руслан МАГОМЕДОВ</w:t>
            </w:r>
            <w:bookmarkStart w:id="19" w:name="20"/>
            <w:bookmarkEnd w:id="19"/>
          </w:p>
        </w:tc>
      </w:tr>
      <w:tr>
        <w:trPr>
          <w:trHeight w:val="120" w:hRule="atLeast"/>
        </w:trPr>
        <w:tc>
          <w:tcPr>
            <w:tcW w:w="4845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ind w:left="0" w:hanging="0"/>
              <w:jc w:val="center"/>
              <w:rPr/>
            </w:pPr>
            <w:r>
              <w:rPr>
                <w:rFonts w:ascii="Arial" w:hAnsi="Arial"/>
                <w:b/>
                <w:i w:val="false"/>
                <w:color w:val="000000"/>
                <w:sz w:val="15"/>
              </w:rPr>
              <w:t>ПОГОДЖЕНО:</w:t>
            </w:r>
            <w:bookmarkStart w:id="20" w:name="21"/>
            <w:bookmarkEnd w:id="20"/>
          </w:p>
        </w:tc>
        <w:tc>
          <w:tcPr>
            <w:tcW w:w="4845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ind w:left="0" w:hanging="0"/>
              <w:jc w:val="center"/>
              <w:rPr/>
            </w:pPr>
            <w:r>
              <w:rPr>
                <w:rFonts w:ascii="Arial" w:hAnsi="Arial"/>
                <w:b w:val="false"/>
                <w:i w:val="false"/>
                <w:color w:val="000000"/>
                <w:sz w:val="15"/>
              </w:rPr>
              <w:t xml:space="preserve"> </w:t>
            </w:r>
            <w:bookmarkStart w:id="21" w:name="22"/>
            <w:bookmarkEnd w:id="21"/>
          </w:p>
        </w:tc>
      </w:tr>
      <w:tr>
        <w:trPr>
          <w:trHeight w:val="120" w:hRule="atLeast"/>
        </w:trPr>
        <w:tc>
          <w:tcPr>
            <w:tcW w:w="4845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ind w:left="0" w:hanging="0"/>
              <w:jc w:val="center"/>
              <w:rPr/>
            </w:pPr>
            <w:r>
              <w:rPr>
                <w:rFonts w:ascii="Arial" w:hAnsi="Arial"/>
                <w:b/>
                <w:i w:val="false"/>
                <w:color w:val="000000"/>
                <w:sz w:val="15"/>
              </w:rPr>
              <w:t>Міністр фінансів України</w:t>
            </w:r>
            <w:bookmarkStart w:id="22" w:name="23"/>
            <w:bookmarkEnd w:id="22"/>
          </w:p>
        </w:tc>
        <w:tc>
          <w:tcPr>
            <w:tcW w:w="4845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ind w:left="0" w:hanging="0"/>
              <w:jc w:val="center"/>
              <w:rPr/>
            </w:pPr>
            <w:r>
              <w:rPr>
                <w:rFonts w:ascii="Arial" w:hAnsi="Arial"/>
                <w:b/>
                <w:i w:val="false"/>
                <w:color w:val="000000"/>
                <w:sz w:val="15"/>
              </w:rPr>
              <w:t>Сергій МАРЧЕНКО</w:t>
            </w:r>
            <w:bookmarkStart w:id="23" w:name="24"/>
            <w:bookmarkEnd w:id="23"/>
          </w:p>
        </w:tc>
      </w:tr>
    </w:tbl>
    <w:p>
      <w:pPr>
        <w:pStyle w:val="Normal"/>
        <w:ind w:left="0" w:hanging="0"/>
        <w:jc w:val="left"/>
        <w:rPr/>
      </w:pPr>
      <w:r>
        <w:rPr/>
        <w:br/>
      </w:r>
    </w:p>
    <w:p>
      <w:pPr>
        <w:pStyle w:val="Normal"/>
        <w:spacing w:before="0" w:after="0"/>
        <w:ind w:firstLine="240"/>
        <w:jc w:val="left"/>
        <w:rPr/>
      </w:pPr>
      <w:r>
        <w:rPr>
          <w:rFonts w:ascii="Arial" w:hAnsi="Arial"/>
          <w:b w:val="false"/>
          <w:i w:val="false"/>
          <w:color w:val="000000"/>
          <w:sz w:val="18"/>
        </w:rPr>
        <w:t xml:space="preserve"> </w:t>
      </w:r>
      <w:bookmarkStart w:id="24" w:name="25"/>
      <w:bookmarkEnd w:id="24"/>
    </w:p>
    <w:p>
      <w:pPr>
        <w:pStyle w:val="Normal"/>
        <w:spacing w:before="0" w:after="0"/>
        <w:ind w:firstLine="240"/>
        <w:jc w:val="right"/>
        <w:rPr/>
      </w:pPr>
      <w:r>
        <w:rPr>
          <w:rFonts w:ascii="Arial" w:hAnsi="Arial"/>
          <w:b w:val="false"/>
          <w:i w:val="false"/>
          <w:color w:val="000000"/>
          <w:sz w:val="18"/>
        </w:rPr>
        <w:t>Протокол засідання Комісії</w:t>
      </w:r>
      <w:r>
        <w:rPr/>
        <w:br/>
      </w:r>
      <w:r>
        <w:rPr>
          <w:rFonts w:ascii="Arial" w:hAnsi="Arial"/>
          <w:b w:val="false"/>
          <w:i w:val="false"/>
          <w:color w:val="000000"/>
          <w:sz w:val="18"/>
        </w:rPr>
        <w:t>від 13 червня 2022 р. N 80</w:t>
      </w:r>
      <w:bookmarkStart w:id="25" w:name="26"/>
      <w:bookmarkEnd w:id="25"/>
    </w:p>
    <w:p>
      <w:pPr>
        <w:pStyle w:val="Normal"/>
        <w:spacing w:before="0" w:after="0"/>
        <w:ind w:firstLine="240"/>
        <w:jc w:val="left"/>
        <w:rPr/>
      </w:pPr>
      <w:r>
        <w:rPr>
          <w:rFonts w:ascii="Arial" w:hAnsi="Arial"/>
          <w:b w:val="false"/>
          <w:i w:val="false"/>
          <w:color w:val="000000"/>
          <w:sz w:val="18"/>
        </w:rPr>
        <w:t xml:space="preserve"> </w:t>
      </w:r>
      <w:bookmarkStart w:id="26" w:name="27"/>
      <w:bookmarkEnd w:id="26"/>
    </w:p>
    <w:p>
      <w:pPr>
        <w:pStyle w:val="Normal"/>
        <w:spacing w:before="0" w:after="0"/>
        <w:ind w:firstLine="240"/>
        <w:jc w:val="right"/>
        <w:rPr/>
      </w:pPr>
      <w:r>
        <w:rPr>
          <w:rFonts w:ascii="Arial" w:hAnsi="Arial"/>
          <w:b w:val="false"/>
          <w:i w:val="false"/>
          <w:color w:val="000000"/>
          <w:sz w:val="18"/>
        </w:rPr>
        <w:t>ЗАТВЕРДЖЕНО</w:t>
      </w:r>
      <w:r>
        <w:rPr/>
        <w:br/>
      </w:r>
      <w:r>
        <w:rPr>
          <w:rFonts w:ascii="Arial" w:hAnsi="Arial"/>
          <w:b w:val="false"/>
          <w:i w:val="false"/>
          <w:color w:val="000000"/>
          <w:sz w:val="18"/>
        </w:rPr>
        <w:t>Рішення Національної комісії з цінних паперів та фондового ринку</w:t>
      </w:r>
      <w:r>
        <w:rPr/>
        <w:br/>
      </w:r>
      <w:r>
        <w:rPr>
          <w:rFonts w:ascii="Arial" w:hAnsi="Arial"/>
          <w:b w:val="false"/>
          <w:i w:val="false"/>
          <w:color w:val="000000"/>
          <w:sz w:val="18"/>
        </w:rPr>
        <w:t>13 червня 2022 року N 620</w:t>
      </w:r>
      <w:bookmarkStart w:id="27" w:name="28"/>
      <w:bookmarkEnd w:id="27"/>
    </w:p>
    <w:p>
      <w:pPr>
        <w:pStyle w:val="3"/>
        <w:spacing w:before="200" w:after="0"/>
        <w:ind w:left="0" w:hanging="0"/>
        <w:jc w:val="center"/>
        <w:rPr/>
      </w:pPr>
      <w:r>
        <w:rPr>
          <w:rFonts w:ascii="Arial" w:hAnsi="Arial"/>
          <w:color w:val="000000"/>
          <w:sz w:val="27"/>
        </w:rPr>
        <w:t>Розміри плати</w:t>
      </w:r>
      <w:r>
        <w:rPr/>
        <w:br/>
      </w:r>
      <w:r>
        <w:rPr>
          <w:rFonts w:ascii="Arial" w:hAnsi="Arial"/>
          <w:color w:val="000000"/>
          <w:sz w:val="27"/>
        </w:rPr>
        <w:t>за реєстраційні дії щодо учасників ринків капіталу та інших осіб</w:t>
      </w:r>
      <w:bookmarkStart w:id="28" w:name="29"/>
      <w:bookmarkEnd w:id="28"/>
    </w:p>
    <w:tbl>
      <w:tblPr>
        <w:tblW w:w="9691" w:type="dxa"/>
        <w:jc w:val="left"/>
        <w:tblInd w:w="11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83"/>
        <w:gridCol w:w="6297"/>
        <w:gridCol w:w="2811"/>
      </w:tblGrid>
      <w:tr>
        <w:trPr>
          <w:trHeight w:val="45" w:hRule="atLeast"/>
        </w:trPr>
        <w:tc>
          <w:tcPr>
            <w:tcW w:w="583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ind w:left="0" w:hanging="0"/>
              <w:jc w:val="center"/>
              <w:rPr/>
            </w:pPr>
            <w:r>
              <w:rPr>
                <w:rFonts w:ascii="Arial" w:hAnsi="Arial"/>
                <w:b w:val="false"/>
                <w:i w:val="false"/>
                <w:color w:val="000000"/>
                <w:sz w:val="15"/>
              </w:rPr>
              <w:t>N</w:t>
            </w:r>
            <w:r>
              <w:rPr/>
              <w:br/>
            </w:r>
            <w:r>
              <w:rPr>
                <w:rFonts w:ascii="Arial" w:hAnsi="Arial"/>
                <w:b w:val="false"/>
                <w:i w:val="false"/>
                <w:color w:val="000000"/>
                <w:sz w:val="15"/>
              </w:rPr>
              <w:t>з/п</w:t>
            </w:r>
            <w:bookmarkStart w:id="29" w:name="30"/>
            <w:bookmarkEnd w:id="29"/>
          </w:p>
        </w:tc>
        <w:tc>
          <w:tcPr>
            <w:tcW w:w="629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ind w:left="0" w:hanging="0"/>
              <w:jc w:val="center"/>
              <w:rPr/>
            </w:pPr>
            <w:r>
              <w:rPr>
                <w:rFonts w:ascii="Arial" w:hAnsi="Arial"/>
                <w:b w:val="false"/>
                <w:i w:val="false"/>
                <w:color w:val="000000"/>
                <w:sz w:val="15"/>
              </w:rPr>
              <w:t>Найменування послуги</w:t>
            </w:r>
            <w:bookmarkStart w:id="30" w:name="31"/>
            <w:bookmarkEnd w:id="30"/>
          </w:p>
        </w:tc>
        <w:tc>
          <w:tcPr>
            <w:tcW w:w="281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ind w:left="0" w:hanging="0"/>
              <w:jc w:val="center"/>
              <w:rPr/>
            </w:pPr>
            <w:r>
              <w:rPr>
                <w:rFonts w:ascii="Arial" w:hAnsi="Arial"/>
                <w:b w:val="false"/>
                <w:i w:val="false"/>
                <w:color w:val="000000"/>
                <w:sz w:val="15"/>
              </w:rPr>
              <w:t>Розмір плати за надання послуги</w:t>
            </w:r>
            <w:bookmarkStart w:id="31" w:name="32"/>
            <w:bookmarkEnd w:id="31"/>
          </w:p>
        </w:tc>
      </w:tr>
      <w:tr>
        <w:trPr>
          <w:trHeight w:val="45" w:hRule="atLeast"/>
        </w:trPr>
        <w:tc>
          <w:tcPr>
            <w:tcW w:w="583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ind w:left="0" w:hanging="0"/>
              <w:jc w:val="center"/>
              <w:rPr/>
            </w:pPr>
            <w:r>
              <w:rPr>
                <w:rFonts w:ascii="Arial" w:hAnsi="Arial"/>
                <w:b w:val="false"/>
                <w:i w:val="false"/>
                <w:color w:val="000000"/>
                <w:sz w:val="15"/>
              </w:rPr>
              <w:t>1</w:t>
            </w:r>
            <w:bookmarkStart w:id="32" w:name="33"/>
            <w:bookmarkEnd w:id="32"/>
          </w:p>
        </w:tc>
        <w:tc>
          <w:tcPr>
            <w:tcW w:w="629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ind w:left="0" w:hanging="0"/>
              <w:jc w:val="left"/>
              <w:rPr/>
            </w:pPr>
            <w:r>
              <w:rPr>
                <w:rFonts w:ascii="Arial" w:hAnsi="Arial"/>
                <w:b w:val="false"/>
                <w:i w:val="false"/>
                <w:color w:val="000000"/>
                <w:sz w:val="15"/>
              </w:rPr>
              <w:t>Видача ліцензії на провадження професійної діяльності на ринках капіталу та організованих товарних ринках</w:t>
            </w:r>
            <w:bookmarkStart w:id="33" w:name="34"/>
            <w:bookmarkEnd w:id="33"/>
          </w:p>
        </w:tc>
        <w:tc>
          <w:tcPr>
            <w:tcW w:w="281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ind w:left="0" w:hanging="0"/>
              <w:jc w:val="center"/>
              <w:rPr/>
            </w:pPr>
            <w:r>
              <w:rPr>
                <w:rFonts w:ascii="Arial" w:hAnsi="Arial"/>
                <w:b w:val="false"/>
                <w:i w:val="false"/>
                <w:color w:val="000000"/>
                <w:sz w:val="15"/>
              </w:rPr>
              <w:t>14000 гривень</w:t>
            </w:r>
            <w:bookmarkStart w:id="34" w:name="35"/>
            <w:bookmarkEnd w:id="34"/>
          </w:p>
        </w:tc>
      </w:tr>
      <w:tr>
        <w:trPr>
          <w:trHeight w:val="45" w:hRule="atLeast"/>
        </w:trPr>
        <w:tc>
          <w:tcPr>
            <w:tcW w:w="583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ind w:left="0" w:hanging="0"/>
              <w:jc w:val="center"/>
              <w:rPr/>
            </w:pPr>
            <w:r>
              <w:rPr>
                <w:rFonts w:ascii="Arial" w:hAnsi="Arial"/>
                <w:b w:val="false"/>
                <w:i w:val="false"/>
                <w:color w:val="000000"/>
                <w:sz w:val="15"/>
              </w:rPr>
              <w:t>2</w:t>
            </w:r>
            <w:bookmarkStart w:id="35" w:name="36"/>
            <w:bookmarkEnd w:id="35"/>
          </w:p>
        </w:tc>
        <w:tc>
          <w:tcPr>
            <w:tcW w:w="629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ind w:left="0" w:hanging="0"/>
              <w:jc w:val="left"/>
              <w:rPr/>
            </w:pPr>
            <w:r>
              <w:rPr>
                <w:rFonts w:ascii="Arial" w:hAnsi="Arial"/>
                <w:b w:val="false"/>
                <w:i w:val="false"/>
                <w:color w:val="000000"/>
                <w:sz w:val="15"/>
              </w:rPr>
              <w:t>Видача свідоцтва про реєстрацію об'єднання професійних учасників ринків капіталу</w:t>
            </w:r>
            <w:bookmarkStart w:id="36" w:name="37"/>
            <w:bookmarkEnd w:id="36"/>
          </w:p>
        </w:tc>
        <w:tc>
          <w:tcPr>
            <w:tcW w:w="281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ind w:left="0" w:hanging="0"/>
              <w:jc w:val="center"/>
              <w:rPr/>
            </w:pPr>
            <w:r>
              <w:rPr>
                <w:rFonts w:ascii="Arial" w:hAnsi="Arial"/>
                <w:b w:val="false"/>
                <w:i w:val="false"/>
                <w:color w:val="000000"/>
                <w:sz w:val="15"/>
              </w:rPr>
              <w:t>14000 гривень</w:t>
            </w:r>
            <w:bookmarkStart w:id="37" w:name="38"/>
            <w:bookmarkEnd w:id="37"/>
          </w:p>
        </w:tc>
      </w:tr>
      <w:tr>
        <w:trPr>
          <w:trHeight w:val="45" w:hRule="atLeast"/>
        </w:trPr>
        <w:tc>
          <w:tcPr>
            <w:tcW w:w="583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ind w:left="0" w:hanging="0"/>
              <w:jc w:val="center"/>
              <w:rPr/>
            </w:pPr>
            <w:r>
              <w:rPr>
                <w:rFonts w:ascii="Arial" w:hAnsi="Arial"/>
                <w:b w:val="false"/>
                <w:i w:val="false"/>
                <w:color w:val="000000"/>
                <w:sz w:val="15"/>
              </w:rPr>
              <w:t>3</w:t>
            </w:r>
            <w:bookmarkStart w:id="38" w:name="39"/>
            <w:bookmarkEnd w:id="38"/>
          </w:p>
        </w:tc>
        <w:tc>
          <w:tcPr>
            <w:tcW w:w="629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ind w:left="0" w:hanging="0"/>
              <w:jc w:val="left"/>
              <w:rPr/>
            </w:pPr>
            <w:r>
              <w:rPr>
                <w:rFonts w:ascii="Arial" w:hAnsi="Arial"/>
                <w:b w:val="false"/>
                <w:i w:val="false"/>
                <w:color w:val="000000"/>
                <w:sz w:val="15"/>
              </w:rPr>
              <w:t>Видача свідоцтва про реєстрацію об'єднання як саморегулівної організації професійних учасників ринків капіталу</w:t>
            </w:r>
            <w:bookmarkStart w:id="39" w:name="40"/>
            <w:bookmarkEnd w:id="39"/>
          </w:p>
        </w:tc>
        <w:tc>
          <w:tcPr>
            <w:tcW w:w="281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ind w:left="0" w:hanging="0"/>
              <w:jc w:val="center"/>
              <w:rPr/>
            </w:pPr>
            <w:r>
              <w:rPr>
                <w:rFonts w:ascii="Arial" w:hAnsi="Arial"/>
                <w:b w:val="false"/>
                <w:i w:val="false"/>
                <w:color w:val="000000"/>
                <w:sz w:val="15"/>
              </w:rPr>
              <w:t>14000 гривень</w:t>
            </w:r>
            <w:bookmarkStart w:id="40" w:name="41"/>
            <w:bookmarkEnd w:id="40"/>
          </w:p>
        </w:tc>
      </w:tr>
      <w:tr>
        <w:trPr>
          <w:trHeight w:val="45" w:hRule="atLeast"/>
        </w:trPr>
        <w:tc>
          <w:tcPr>
            <w:tcW w:w="583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ind w:left="0" w:hanging="0"/>
              <w:jc w:val="center"/>
              <w:rPr/>
            </w:pPr>
            <w:r>
              <w:rPr>
                <w:rFonts w:ascii="Arial" w:hAnsi="Arial"/>
                <w:b w:val="false"/>
                <w:i w:val="false"/>
                <w:color w:val="000000"/>
                <w:sz w:val="15"/>
              </w:rPr>
              <w:t>4</w:t>
            </w:r>
            <w:bookmarkStart w:id="41" w:name="42"/>
            <w:bookmarkEnd w:id="41"/>
          </w:p>
        </w:tc>
        <w:tc>
          <w:tcPr>
            <w:tcW w:w="629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ind w:left="0" w:hanging="0"/>
              <w:jc w:val="left"/>
              <w:rPr/>
            </w:pPr>
            <w:r>
              <w:rPr>
                <w:rFonts w:ascii="Arial" w:hAnsi="Arial"/>
                <w:b w:val="false"/>
                <w:i w:val="false"/>
                <w:color w:val="000000"/>
                <w:sz w:val="15"/>
              </w:rPr>
              <w:t>Видача свідоцтва про включення до Реєстру осіб, уповноважених надавати інформаційні послуги на ринках капіталу та організованих товарних ринках</w:t>
            </w:r>
            <w:bookmarkStart w:id="42" w:name="43"/>
            <w:bookmarkEnd w:id="42"/>
          </w:p>
        </w:tc>
        <w:tc>
          <w:tcPr>
            <w:tcW w:w="281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ind w:left="0" w:hanging="0"/>
              <w:jc w:val="center"/>
              <w:rPr/>
            </w:pPr>
            <w:r>
              <w:rPr>
                <w:rFonts w:ascii="Arial" w:hAnsi="Arial"/>
                <w:b w:val="false"/>
                <w:i w:val="false"/>
                <w:color w:val="000000"/>
                <w:sz w:val="15"/>
              </w:rPr>
              <w:t>14000 гривень</w:t>
            </w:r>
            <w:bookmarkStart w:id="43" w:name="44"/>
            <w:bookmarkEnd w:id="43"/>
          </w:p>
        </w:tc>
      </w:tr>
      <w:tr>
        <w:trPr>
          <w:trHeight w:val="45" w:hRule="atLeast"/>
        </w:trPr>
        <w:tc>
          <w:tcPr>
            <w:tcW w:w="583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ind w:left="0" w:hanging="0"/>
              <w:jc w:val="center"/>
              <w:rPr/>
            </w:pPr>
            <w:r>
              <w:rPr>
                <w:rFonts w:ascii="Arial" w:hAnsi="Arial"/>
                <w:b w:val="false"/>
                <w:i w:val="false"/>
                <w:color w:val="000000"/>
                <w:sz w:val="15"/>
              </w:rPr>
              <w:t>5</w:t>
            </w:r>
            <w:bookmarkStart w:id="44" w:name="45"/>
            <w:bookmarkEnd w:id="44"/>
          </w:p>
        </w:tc>
        <w:tc>
          <w:tcPr>
            <w:tcW w:w="629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ind w:left="0" w:hanging="0"/>
              <w:jc w:val="left"/>
              <w:rPr/>
            </w:pPr>
            <w:r>
              <w:rPr>
                <w:rFonts w:ascii="Arial" w:hAnsi="Arial"/>
                <w:b w:val="false"/>
                <w:i w:val="false"/>
                <w:color w:val="000000"/>
                <w:sz w:val="15"/>
              </w:rPr>
              <w:t>Видача свідоцтва про включення до Реєстру осіб, уповноважених провадити діяльність торгового репозиторію на ринках капіталу та організованих товарних ринках</w:t>
            </w:r>
            <w:bookmarkStart w:id="45" w:name="46"/>
            <w:bookmarkEnd w:id="45"/>
          </w:p>
        </w:tc>
        <w:tc>
          <w:tcPr>
            <w:tcW w:w="281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ind w:left="0" w:hanging="0"/>
              <w:jc w:val="center"/>
              <w:rPr/>
            </w:pPr>
            <w:r>
              <w:rPr>
                <w:rFonts w:ascii="Arial" w:hAnsi="Arial"/>
                <w:b w:val="false"/>
                <w:i w:val="false"/>
                <w:color w:val="000000"/>
                <w:sz w:val="15"/>
              </w:rPr>
              <w:t>14000 гривень</w:t>
            </w:r>
            <w:bookmarkStart w:id="46" w:name="47"/>
            <w:bookmarkEnd w:id="46"/>
          </w:p>
        </w:tc>
      </w:tr>
      <w:tr>
        <w:trPr>
          <w:trHeight w:val="45" w:hRule="atLeast"/>
        </w:trPr>
        <w:tc>
          <w:tcPr>
            <w:tcW w:w="583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ind w:left="0" w:hanging="0"/>
              <w:jc w:val="center"/>
              <w:rPr/>
            </w:pPr>
            <w:r>
              <w:rPr>
                <w:rFonts w:ascii="Arial" w:hAnsi="Arial"/>
                <w:b w:val="false"/>
                <w:i w:val="false"/>
                <w:color w:val="000000"/>
                <w:sz w:val="15"/>
              </w:rPr>
              <w:t>6</w:t>
            </w:r>
            <w:bookmarkStart w:id="47" w:name="48"/>
            <w:bookmarkEnd w:id="47"/>
          </w:p>
        </w:tc>
        <w:tc>
          <w:tcPr>
            <w:tcW w:w="629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ind w:left="0" w:hanging="0"/>
              <w:jc w:val="left"/>
              <w:rPr/>
            </w:pPr>
            <w:r>
              <w:rPr>
                <w:rFonts w:ascii="Arial" w:hAnsi="Arial"/>
                <w:b w:val="false"/>
                <w:i w:val="false"/>
                <w:color w:val="000000"/>
                <w:sz w:val="15"/>
              </w:rPr>
              <w:t>Видача свідоцтва (дубліката свідоцтва) про включення до Державного реєстру уповноважених рейтингових агентств</w:t>
            </w:r>
            <w:bookmarkStart w:id="48" w:name="49"/>
            <w:bookmarkEnd w:id="48"/>
          </w:p>
        </w:tc>
        <w:tc>
          <w:tcPr>
            <w:tcW w:w="281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ind w:left="0" w:hanging="0"/>
              <w:jc w:val="center"/>
              <w:rPr/>
            </w:pPr>
            <w:r>
              <w:rPr>
                <w:rFonts w:ascii="Arial" w:hAnsi="Arial"/>
                <w:b w:val="false"/>
                <w:i w:val="false"/>
                <w:color w:val="000000"/>
                <w:sz w:val="15"/>
              </w:rPr>
              <w:t>2500 гривень</w:t>
            </w:r>
            <w:bookmarkStart w:id="49" w:name="50"/>
            <w:bookmarkEnd w:id="49"/>
          </w:p>
        </w:tc>
      </w:tr>
      <w:tr>
        <w:trPr>
          <w:trHeight w:val="45" w:hRule="atLeast"/>
        </w:trPr>
        <w:tc>
          <w:tcPr>
            <w:tcW w:w="583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ind w:left="0" w:hanging="0"/>
              <w:jc w:val="center"/>
              <w:rPr/>
            </w:pPr>
            <w:r>
              <w:rPr>
                <w:rFonts w:ascii="Arial" w:hAnsi="Arial"/>
                <w:b w:val="false"/>
                <w:i w:val="false"/>
                <w:color w:val="000000"/>
                <w:sz w:val="15"/>
              </w:rPr>
              <w:t>7</w:t>
            </w:r>
            <w:bookmarkStart w:id="50" w:name="51"/>
            <w:bookmarkEnd w:id="50"/>
          </w:p>
        </w:tc>
        <w:tc>
          <w:tcPr>
            <w:tcW w:w="629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ind w:left="0" w:hanging="0"/>
              <w:jc w:val="left"/>
              <w:rPr/>
            </w:pPr>
            <w:r>
              <w:rPr>
                <w:rFonts w:ascii="Arial" w:hAnsi="Arial"/>
                <w:b w:val="false"/>
                <w:i w:val="false"/>
                <w:color w:val="000000"/>
                <w:sz w:val="15"/>
              </w:rPr>
              <w:t>Видача сертифіката на право вчинення дій, пов'язаних з безпосереднім провадженням професійної діяльності на ринках капіталу та організованих товарних ринках</w:t>
            </w:r>
            <w:bookmarkStart w:id="51" w:name="52"/>
            <w:bookmarkEnd w:id="51"/>
          </w:p>
        </w:tc>
        <w:tc>
          <w:tcPr>
            <w:tcW w:w="281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ind w:left="0" w:hanging="0"/>
              <w:jc w:val="center"/>
              <w:rPr/>
            </w:pPr>
            <w:r>
              <w:rPr>
                <w:rFonts w:ascii="Arial" w:hAnsi="Arial"/>
                <w:b w:val="false"/>
                <w:i w:val="false"/>
                <w:color w:val="000000"/>
                <w:sz w:val="15"/>
              </w:rPr>
              <w:t>450 гривень</w:t>
            </w:r>
            <w:bookmarkStart w:id="52" w:name="53"/>
            <w:bookmarkEnd w:id="52"/>
          </w:p>
        </w:tc>
      </w:tr>
      <w:tr>
        <w:trPr>
          <w:trHeight w:val="45" w:hRule="atLeast"/>
        </w:trPr>
        <w:tc>
          <w:tcPr>
            <w:tcW w:w="583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ind w:left="0" w:hanging="0"/>
              <w:jc w:val="center"/>
              <w:rPr/>
            </w:pPr>
            <w:r>
              <w:rPr>
                <w:rFonts w:ascii="Arial" w:hAnsi="Arial"/>
                <w:b w:val="false"/>
                <w:i w:val="false"/>
                <w:color w:val="000000"/>
                <w:sz w:val="15"/>
              </w:rPr>
              <w:t>8</w:t>
            </w:r>
            <w:bookmarkStart w:id="53" w:name="54"/>
            <w:bookmarkEnd w:id="53"/>
          </w:p>
        </w:tc>
        <w:tc>
          <w:tcPr>
            <w:tcW w:w="629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ind w:left="0" w:hanging="0"/>
              <w:jc w:val="left"/>
              <w:rPr/>
            </w:pPr>
            <w:r>
              <w:rPr>
                <w:rFonts w:ascii="Arial" w:hAnsi="Arial"/>
                <w:b w:val="false"/>
                <w:i w:val="false"/>
                <w:color w:val="000000"/>
                <w:sz w:val="15"/>
              </w:rPr>
              <w:t>Видача дубліката сертифіката на право вчинення дій, пов'язаних з безпосереднім провадженням професійної діяльності на ринках капіталу та організованих товарних ринках</w:t>
            </w:r>
            <w:bookmarkStart w:id="54" w:name="55"/>
            <w:bookmarkEnd w:id="54"/>
          </w:p>
        </w:tc>
        <w:tc>
          <w:tcPr>
            <w:tcW w:w="281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ind w:left="0" w:hanging="0"/>
              <w:jc w:val="center"/>
              <w:rPr/>
            </w:pPr>
            <w:r>
              <w:rPr>
                <w:rFonts w:ascii="Arial" w:hAnsi="Arial"/>
                <w:b w:val="false"/>
                <w:i w:val="false"/>
                <w:color w:val="000000"/>
                <w:sz w:val="15"/>
              </w:rPr>
              <w:t>400 гривень</w:t>
            </w:r>
            <w:bookmarkStart w:id="55" w:name="56"/>
            <w:bookmarkEnd w:id="55"/>
          </w:p>
        </w:tc>
      </w:tr>
      <w:tr>
        <w:trPr>
          <w:trHeight w:val="45" w:hRule="atLeast"/>
        </w:trPr>
        <w:tc>
          <w:tcPr>
            <w:tcW w:w="583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ind w:left="0" w:hanging="0"/>
              <w:jc w:val="center"/>
              <w:rPr/>
            </w:pPr>
            <w:r>
              <w:rPr>
                <w:rFonts w:ascii="Arial" w:hAnsi="Arial"/>
                <w:b w:val="false"/>
                <w:i w:val="false"/>
                <w:color w:val="000000"/>
                <w:sz w:val="15"/>
              </w:rPr>
              <w:t>9</w:t>
            </w:r>
            <w:bookmarkStart w:id="56" w:name="57"/>
            <w:bookmarkEnd w:id="56"/>
          </w:p>
        </w:tc>
        <w:tc>
          <w:tcPr>
            <w:tcW w:w="629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ind w:left="0" w:hanging="0"/>
              <w:jc w:val="left"/>
              <w:rPr/>
            </w:pPr>
            <w:r>
              <w:rPr>
                <w:rFonts w:ascii="Arial" w:hAnsi="Arial"/>
                <w:b w:val="false"/>
                <w:i w:val="false"/>
                <w:color w:val="000000"/>
                <w:sz w:val="15"/>
              </w:rPr>
              <w:t>Відновлення обігу цінних паперів (крім цінних паперів інститутів спільного інвестування)</w:t>
            </w:r>
            <w:bookmarkStart w:id="57" w:name="58"/>
            <w:bookmarkEnd w:id="57"/>
          </w:p>
        </w:tc>
        <w:tc>
          <w:tcPr>
            <w:tcW w:w="281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ind w:left="0" w:hanging="0"/>
              <w:jc w:val="center"/>
              <w:rPr/>
            </w:pPr>
            <w:r>
              <w:rPr>
                <w:rFonts w:ascii="Arial" w:hAnsi="Arial"/>
                <w:b w:val="false"/>
                <w:i w:val="false"/>
                <w:color w:val="000000"/>
                <w:sz w:val="15"/>
              </w:rPr>
              <w:t>7000 гривень</w:t>
            </w:r>
            <w:bookmarkStart w:id="58" w:name="59"/>
            <w:bookmarkEnd w:id="58"/>
          </w:p>
        </w:tc>
      </w:tr>
      <w:tr>
        <w:trPr>
          <w:trHeight w:val="45" w:hRule="atLeast"/>
        </w:trPr>
        <w:tc>
          <w:tcPr>
            <w:tcW w:w="583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ind w:left="0" w:hanging="0"/>
              <w:jc w:val="center"/>
              <w:rPr/>
            </w:pPr>
            <w:r>
              <w:rPr>
                <w:rFonts w:ascii="Arial" w:hAnsi="Arial"/>
                <w:b w:val="false"/>
                <w:i w:val="false"/>
                <w:color w:val="000000"/>
                <w:sz w:val="15"/>
              </w:rPr>
              <w:t>10</w:t>
            </w:r>
            <w:bookmarkStart w:id="59" w:name="60"/>
            <w:bookmarkEnd w:id="59"/>
          </w:p>
        </w:tc>
        <w:tc>
          <w:tcPr>
            <w:tcW w:w="629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ind w:left="0" w:hanging="0"/>
              <w:jc w:val="left"/>
              <w:rPr/>
            </w:pPr>
            <w:r>
              <w:rPr>
                <w:rFonts w:ascii="Arial" w:hAnsi="Arial"/>
                <w:b w:val="false"/>
                <w:i w:val="false"/>
                <w:color w:val="000000"/>
                <w:sz w:val="15"/>
              </w:rPr>
              <w:t>Відновлення обігу цінних паперів (облігацій підприємств, облігацій міжнародних фінансових організацій, сертифікатів фонду операцій з нерухомістю) (конвертація)</w:t>
            </w:r>
            <w:bookmarkStart w:id="60" w:name="61"/>
            <w:bookmarkEnd w:id="60"/>
          </w:p>
        </w:tc>
        <w:tc>
          <w:tcPr>
            <w:tcW w:w="281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ind w:left="0" w:hanging="0"/>
              <w:jc w:val="center"/>
              <w:rPr/>
            </w:pPr>
            <w:r>
              <w:rPr>
                <w:rFonts w:ascii="Arial" w:hAnsi="Arial"/>
                <w:b w:val="false"/>
                <w:i w:val="false"/>
                <w:color w:val="000000"/>
                <w:sz w:val="15"/>
              </w:rPr>
              <w:t>7000 гривень</w:t>
            </w:r>
            <w:bookmarkStart w:id="61" w:name="62"/>
            <w:bookmarkEnd w:id="61"/>
          </w:p>
        </w:tc>
      </w:tr>
      <w:tr>
        <w:trPr>
          <w:trHeight w:val="45" w:hRule="atLeast"/>
        </w:trPr>
        <w:tc>
          <w:tcPr>
            <w:tcW w:w="583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ind w:left="0" w:hanging="0"/>
              <w:jc w:val="center"/>
              <w:rPr/>
            </w:pPr>
            <w:r>
              <w:rPr>
                <w:rFonts w:ascii="Arial" w:hAnsi="Arial"/>
                <w:b w:val="false"/>
                <w:i w:val="false"/>
                <w:color w:val="000000"/>
                <w:sz w:val="15"/>
              </w:rPr>
              <w:t>11</w:t>
            </w:r>
            <w:bookmarkStart w:id="62" w:name="63"/>
            <w:bookmarkEnd w:id="62"/>
          </w:p>
        </w:tc>
        <w:tc>
          <w:tcPr>
            <w:tcW w:w="629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ind w:left="0" w:hanging="0"/>
              <w:jc w:val="left"/>
              <w:rPr/>
            </w:pPr>
            <w:r>
              <w:rPr>
                <w:rFonts w:ascii="Arial" w:hAnsi="Arial"/>
                <w:b w:val="false"/>
                <w:i w:val="false"/>
                <w:color w:val="000000"/>
                <w:sz w:val="15"/>
              </w:rPr>
              <w:t>Визначення пайового фонду як такого, що відповідає / не відповідає вимогам щодо мінімального обсягу активів інституту спільного інвестування</w:t>
            </w:r>
            <w:bookmarkStart w:id="63" w:name="64"/>
            <w:bookmarkEnd w:id="63"/>
          </w:p>
        </w:tc>
        <w:tc>
          <w:tcPr>
            <w:tcW w:w="281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ind w:left="0" w:hanging="0"/>
              <w:jc w:val="center"/>
              <w:rPr/>
            </w:pPr>
            <w:r>
              <w:rPr>
                <w:rFonts w:ascii="Arial" w:hAnsi="Arial"/>
                <w:b w:val="false"/>
                <w:i w:val="false"/>
                <w:color w:val="000000"/>
                <w:sz w:val="15"/>
              </w:rPr>
              <w:t>14000 гривень</w:t>
            </w:r>
            <w:bookmarkStart w:id="64" w:name="65"/>
            <w:bookmarkEnd w:id="64"/>
          </w:p>
        </w:tc>
      </w:tr>
      <w:tr>
        <w:trPr>
          <w:trHeight w:val="45" w:hRule="atLeast"/>
        </w:trPr>
        <w:tc>
          <w:tcPr>
            <w:tcW w:w="583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ind w:left="0" w:hanging="0"/>
              <w:jc w:val="center"/>
              <w:rPr/>
            </w:pPr>
            <w:r>
              <w:rPr>
                <w:rFonts w:ascii="Arial" w:hAnsi="Arial"/>
                <w:b w:val="false"/>
                <w:i w:val="false"/>
                <w:color w:val="000000"/>
                <w:sz w:val="15"/>
              </w:rPr>
              <w:t>12</w:t>
            </w:r>
            <w:bookmarkStart w:id="65" w:name="66"/>
            <w:bookmarkEnd w:id="65"/>
          </w:p>
        </w:tc>
        <w:tc>
          <w:tcPr>
            <w:tcW w:w="629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ind w:left="0" w:hanging="0"/>
              <w:jc w:val="left"/>
              <w:rPr/>
            </w:pPr>
            <w:r>
              <w:rPr>
                <w:rFonts w:ascii="Arial" w:hAnsi="Arial"/>
                <w:b w:val="false"/>
                <w:i w:val="false"/>
                <w:color w:val="000000"/>
                <w:sz w:val="15"/>
              </w:rPr>
              <w:t>Видача дозволу на право прийняття управителем на себе комерційних ризиків при створенні фонду фінансування будівництва виду Б</w:t>
            </w:r>
            <w:bookmarkStart w:id="66" w:name="67"/>
            <w:bookmarkEnd w:id="66"/>
          </w:p>
        </w:tc>
        <w:tc>
          <w:tcPr>
            <w:tcW w:w="281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ind w:left="0" w:hanging="0"/>
              <w:jc w:val="center"/>
              <w:rPr/>
            </w:pPr>
            <w:r>
              <w:rPr>
                <w:rFonts w:ascii="Arial" w:hAnsi="Arial"/>
                <w:b w:val="false"/>
                <w:i w:val="false"/>
                <w:color w:val="000000"/>
                <w:sz w:val="15"/>
              </w:rPr>
              <w:t>14000 гривень</w:t>
            </w:r>
            <w:bookmarkStart w:id="67" w:name="68"/>
            <w:bookmarkEnd w:id="67"/>
          </w:p>
        </w:tc>
      </w:tr>
      <w:tr>
        <w:trPr>
          <w:trHeight w:val="45" w:hRule="atLeast"/>
        </w:trPr>
        <w:tc>
          <w:tcPr>
            <w:tcW w:w="583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ind w:left="0" w:hanging="0"/>
              <w:jc w:val="center"/>
              <w:rPr/>
            </w:pPr>
            <w:r>
              <w:rPr>
                <w:rFonts w:ascii="Arial" w:hAnsi="Arial"/>
                <w:b w:val="false"/>
                <w:i w:val="false"/>
                <w:color w:val="000000"/>
                <w:sz w:val="15"/>
              </w:rPr>
              <w:t>13</w:t>
            </w:r>
            <w:bookmarkStart w:id="68" w:name="69"/>
            <w:bookmarkEnd w:id="68"/>
          </w:p>
        </w:tc>
        <w:tc>
          <w:tcPr>
            <w:tcW w:w="629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ind w:left="0" w:hanging="0"/>
              <w:jc w:val="left"/>
              <w:rPr/>
            </w:pPr>
            <w:r>
              <w:rPr>
                <w:rFonts w:ascii="Arial" w:hAnsi="Arial"/>
                <w:b w:val="false"/>
                <w:i w:val="false"/>
                <w:color w:val="000000"/>
                <w:sz w:val="15"/>
              </w:rPr>
              <w:t>Затвердження змін та/або доповнень до проспекту цінних паперів, які повинні бути оформлені у вигляді відповідного додатку до проспекту (крім цінних паперів інститутів спільного інвестування)</w:t>
            </w:r>
            <w:bookmarkStart w:id="69" w:name="70"/>
            <w:bookmarkEnd w:id="69"/>
          </w:p>
        </w:tc>
        <w:tc>
          <w:tcPr>
            <w:tcW w:w="281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ind w:left="0" w:hanging="0"/>
              <w:jc w:val="center"/>
              <w:rPr/>
            </w:pPr>
            <w:r>
              <w:rPr>
                <w:rFonts w:ascii="Arial" w:hAnsi="Arial"/>
                <w:b w:val="false"/>
                <w:i w:val="false"/>
                <w:color w:val="000000"/>
                <w:sz w:val="15"/>
              </w:rPr>
              <w:t>7000 гривень</w:t>
            </w:r>
            <w:bookmarkStart w:id="70" w:name="71"/>
            <w:bookmarkEnd w:id="70"/>
          </w:p>
        </w:tc>
      </w:tr>
      <w:tr>
        <w:trPr>
          <w:trHeight w:val="45" w:hRule="atLeast"/>
        </w:trPr>
        <w:tc>
          <w:tcPr>
            <w:tcW w:w="583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ind w:left="0" w:hanging="0"/>
              <w:jc w:val="center"/>
              <w:rPr/>
            </w:pPr>
            <w:r>
              <w:rPr>
                <w:rFonts w:ascii="Arial" w:hAnsi="Arial"/>
                <w:b w:val="false"/>
                <w:i w:val="false"/>
                <w:color w:val="000000"/>
                <w:sz w:val="15"/>
              </w:rPr>
              <w:t>14</w:t>
            </w:r>
            <w:bookmarkStart w:id="71" w:name="72"/>
            <w:bookmarkEnd w:id="71"/>
          </w:p>
        </w:tc>
        <w:tc>
          <w:tcPr>
            <w:tcW w:w="629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ind w:left="0" w:hanging="0"/>
              <w:jc w:val="left"/>
              <w:rPr/>
            </w:pPr>
            <w:r>
              <w:rPr>
                <w:rFonts w:ascii="Arial" w:hAnsi="Arial"/>
                <w:b w:val="false"/>
                <w:i w:val="false"/>
                <w:color w:val="000000"/>
                <w:sz w:val="15"/>
              </w:rPr>
              <w:t>Затвердження проспекту цінних паперів (крім цінних паперів інститутів спільного інвестування)</w:t>
            </w:r>
            <w:bookmarkStart w:id="72" w:name="73"/>
            <w:bookmarkEnd w:id="72"/>
          </w:p>
        </w:tc>
        <w:tc>
          <w:tcPr>
            <w:tcW w:w="281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ind w:left="0" w:hanging="0"/>
              <w:jc w:val="center"/>
              <w:rPr/>
            </w:pPr>
            <w:r>
              <w:rPr>
                <w:rFonts w:ascii="Arial" w:hAnsi="Arial"/>
                <w:b w:val="false"/>
                <w:i w:val="false"/>
                <w:color w:val="000000"/>
                <w:sz w:val="15"/>
              </w:rPr>
              <w:t>14000 гривень</w:t>
            </w:r>
            <w:bookmarkStart w:id="73" w:name="74"/>
            <w:bookmarkEnd w:id="73"/>
          </w:p>
        </w:tc>
      </w:tr>
      <w:tr>
        <w:trPr>
          <w:trHeight w:val="45" w:hRule="atLeast"/>
        </w:trPr>
        <w:tc>
          <w:tcPr>
            <w:tcW w:w="583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ind w:left="0" w:hanging="0"/>
              <w:jc w:val="center"/>
              <w:rPr/>
            </w:pPr>
            <w:r>
              <w:rPr>
                <w:rFonts w:ascii="Arial" w:hAnsi="Arial"/>
                <w:b w:val="false"/>
                <w:i w:val="false"/>
                <w:color w:val="000000"/>
                <w:sz w:val="15"/>
              </w:rPr>
              <w:t>15</w:t>
            </w:r>
            <w:bookmarkStart w:id="74" w:name="75"/>
            <w:bookmarkEnd w:id="74"/>
          </w:p>
        </w:tc>
        <w:tc>
          <w:tcPr>
            <w:tcW w:w="629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ind w:left="0" w:hanging="0"/>
              <w:jc w:val="left"/>
              <w:rPr/>
            </w:pPr>
            <w:r>
              <w:rPr>
                <w:rFonts w:ascii="Arial" w:hAnsi="Arial"/>
                <w:b w:val="false"/>
                <w:i w:val="false"/>
                <w:color w:val="000000"/>
                <w:sz w:val="15"/>
              </w:rPr>
              <w:t>Зупинення обігу цінних паперів (крім цінних паперів інститутів спільного інвестування)</w:t>
            </w:r>
            <w:bookmarkStart w:id="75" w:name="76"/>
            <w:bookmarkEnd w:id="75"/>
          </w:p>
        </w:tc>
        <w:tc>
          <w:tcPr>
            <w:tcW w:w="281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ind w:left="0" w:hanging="0"/>
              <w:jc w:val="center"/>
              <w:rPr/>
            </w:pPr>
            <w:r>
              <w:rPr>
                <w:rFonts w:ascii="Arial" w:hAnsi="Arial"/>
                <w:b w:val="false"/>
                <w:i w:val="false"/>
                <w:color w:val="000000"/>
                <w:sz w:val="15"/>
              </w:rPr>
              <w:t>7000 гривень</w:t>
            </w:r>
            <w:bookmarkStart w:id="76" w:name="77"/>
            <w:bookmarkEnd w:id="76"/>
          </w:p>
        </w:tc>
      </w:tr>
      <w:tr>
        <w:trPr>
          <w:trHeight w:val="45" w:hRule="atLeast"/>
        </w:trPr>
        <w:tc>
          <w:tcPr>
            <w:tcW w:w="583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ind w:left="0" w:hanging="0"/>
              <w:jc w:val="center"/>
              <w:rPr/>
            </w:pPr>
            <w:r>
              <w:rPr>
                <w:rFonts w:ascii="Arial" w:hAnsi="Arial"/>
                <w:b w:val="false"/>
                <w:i w:val="false"/>
                <w:color w:val="000000"/>
                <w:sz w:val="15"/>
              </w:rPr>
              <w:t>16</w:t>
            </w:r>
            <w:bookmarkStart w:id="77" w:name="78"/>
            <w:bookmarkEnd w:id="77"/>
          </w:p>
        </w:tc>
        <w:tc>
          <w:tcPr>
            <w:tcW w:w="629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ind w:left="0" w:hanging="0"/>
              <w:jc w:val="left"/>
              <w:rPr/>
            </w:pPr>
            <w:r>
              <w:rPr>
                <w:rFonts w:ascii="Arial" w:hAnsi="Arial"/>
                <w:b w:val="false"/>
                <w:i w:val="false"/>
                <w:color w:val="000000"/>
                <w:sz w:val="15"/>
              </w:rPr>
              <w:t>Допуск цінних паперів іноземних емітентів до обігу на території України</w:t>
            </w:r>
            <w:bookmarkStart w:id="78" w:name="79"/>
            <w:bookmarkEnd w:id="78"/>
          </w:p>
        </w:tc>
        <w:tc>
          <w:tcPr>
            <w:tcW w:w="281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ind w:left="0" w:hanging="0"/>
              <w:jc w:val="center"/>
              <w:rPr/>
            </w:pPr>
            <w:r>
              <w:rPr>
                <w:rFonts w:ascii="Arial" w:hAnsi="Arial"/>
                <w:b w:val="false"/>
                <w:i w:val="false"/>
                <w:color w:val="000000"/>
                <w:sz w:val="15"/>
              </w:rPr>
              <w:t>14000 гривень</w:t>
            </w:r>
            <w:bookmarkStart w:id="79" w:name="80"/>
            <w:bookmarkEnd w:id="79"/>
          </w:p>
        </w:tc>
      </w:tr>
      <w:tr>
        <w:trPr>
          <w:trHeight w:val="45" w:hRule="atLeast"/>
        </w:trPr>
        <w:tc>
          <w:tcPr>
            <w:tcW w:w="583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ind w:left="0" w:hanging="0"/>
              <w:jc w:val="center"/>
              <w:rPr/>
            </w:pPr>
            <w:r>
              <w:rPr>
                <w:rFonts w:ascii="Arial" w:hAnsi="Arial"/>
                <w:b w:val="false"/>
                <w:i w:val="false"/>
                <w:color w:val="000000"/>
                <w:sz w:val="15"/>
              </w:rPr>
              <w:t>17</w:t>
            </w:r>
            <w:bookmarkStart w:id="80" w:name="81"/>
            <w:bookmarkEnd w:id="80"/>
          </w:p>
        </w:tc>
        <w:tc>
          <w:tcPr>
            <w:tcW w:w="629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ind w:left="0" w:hanging="0"/>
              <w:jc w:val="left"/>
              <w:rPr/>
            </w:pPr>
            <w:r>
              <w:rPr>
                <w:rFonts w:ascii="Arial" w:hAnsi="Arial"/>
                <w:b w:val="false"/>
                <w:i w:val="false"/>
                <w:color w:val="000000"/>
                <w:sz w:val="15"/>
              </w:rPr>
              <w:t>Погодження внутрішніх документів саморегулівної організації (змін до них), затверджених саморегулівною організацією професійних учасників ринків капіталу</w:t>
            </w:r>
            <w:bookmarkStart w:id="81" w:name="82"/>
            <w:bookmarkEnd w:id="81"/>
          </w:p>
        </w:tc>
        <w:tc>
          <w:tcPr>
            <w:tcW w:w="281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ind w:left="0" w:hanging="0"/>
              <w:jc w:val="center"/>
              <w:rPr/>
            </w:pPr>
            <w:r>
              <w:rPr>
                <w:rFonts w:ascii="Arial" w:hAnsi="Arial"/>
                <w:b w:val="false"/>
                <w:i w:val="false"/>
                <w:color w:val="000000"/>
                <w:sz w:val="15"/>
              </w:rPr>
              <w:t>14000 гривень</w:t>
            </w:r>
            <w:bookmarkStart w:id="82" w:name="83"/>
            <w:bookmarkEnd w:id="82"/>
          </w:p>
        </w:tc>
      </w:tr>
      <w:tr>
        <w:trPr>
          <w:trHeight w:val="45" w:hRule="atLeast"/>
        </w:trPr>
        <w:tc>
          <w:tcPr>
            <w:tcW w:w="583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ind w:left="0" w:hanging="0"/>
              <w:jc w:val="center"/>
              <w:rPr/>
            </w:pPr>
            <w:r>
              <w:rPr>
                <w:rFonts w:ascii="Arial" w:hAnsi="Arial"/>
                <w:b w:val="false"/>
                <w:i w:val="false"/>
                <w:color w:val="000000"/>
                <w:sz w:val="15"/>
              </w:rPr>
              <w:t>18</w:t>
            </w:r>
            <w:bookmarkStart w:id="83" w:name="84"/>
            <w:bookmarkEnd w:id="83"/>
          </w:p>
        </w:tc>
        <w:tc>
          <w:tcPr>
            <w:tcW w:w="629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ind w:left="0" w:hanging="0"/>
              <w:jc w:val="left"/>
              <w:rPr/>
            </w:pPr>
            <w:r>
              <w:rPr>
                <w:rFonts w:ascii="Arial" w:hAnsi="Arial"/>
                <w:b w:val="false"/>
                <w:i w:val="false"/>
                <w:color w:val="000000"/>
                <w:sz w:val="15"/>
              </w:rPr>
              <w:t>Погодження правил і стандартів професійної діяльності на ринках капіталу (змін до них), затверджених об'єднанням професійних учасників ринків капіталу</w:t>
            </w:r>
            <w:bookmarkStart w:id="84" w:name="85"/>
            <w:bookmarkEnd w:id="84"/>
          </w:p>
        </w:tc>
        <w:tc>
          <w:tcPr>
            <w:tcW w:w="281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ind w:left="0" w:hanging="0"/>
              <w:jc w:val="center"/>
              <w:rPr/>
            </w:pPr>
            <w:r>
              <w:rPr>
                <w:rFonts w:ascii="Arial" w:hAnsi="Arial"/>
                <w:b w:val="false"/>
                <w:i w:val="false"/>
                <w:color w:val="000000"/>
                <w:sz w:val="15"/>
              </w:rPr>
              <w:t>14000 гривень</w:t>
            </w:r>
            <w:bookmarkStart w:id="85" w:name="86"/>
            <w:bookmarkEnd w:id="85"/>
          </w:p>
        </w:tc>
      </w:tr>
      <w:tr>
        <w:trPr>
          <w:trHeight w:val="45" w:hRule="atLeast"/>
        </w:trPr>
        <w:tc>
          <w:tcPr>
            <w:tcW w:w="583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ind w:left="0" w:hanging="0"/>
              <w:jc w:val="center"/>
              <w:rPr/>
            </w:pPr>
            <w:r>
              <w:rPr>
                <w:rFonts w:ascii="Arial" w:hAnsi="Arial"/>
                <w:b w:val="false"/>
                <w:i w:val="false"/>
                <w:color w:val="000000"/>
                <w:sz w:val="15"/>
              </w:rPr>
              <w:t>19</w:t>
            </w:r>
            <w:bookmarkStart w:id="86" w:name="87"/>
            <w:bookmarkEnd w:id="86"/>
          </w:p>
        </w:tc>
        <w:tc>
          <w:tcPr>
            <w:tcW w:w="629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ind w:left="0" w:hanging="0"/>
              <w:jc w:val="left"/>
              <w:rPr/>
            </w:pPr>
            <w:r>
              <w:rPr>
                <w:rFonts w:ascii="Arial" w:hAnsi="Arial"/>
                <w:b w:val="false"/>
                <w:i w:val="false"/>
                <w:color w:val="000000"/>
                <w:sz w:val="15"/>
              </w:rPr>
              <w:t>Погодження наміру набуття або збільшення особою істотної участі у професійному учаснику ринків капіталу та організованих товарних ринків</w:t>
            </w:r>
            <w:bookmarkStart w:id="87" w:name="88"/>
            <w:bookmarkEnd w:id="87"/>
          </w:p>
        </w:tc>
        <w:tc>
          <w:tcPr>
            <w:tcW w:w="281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ind w:left="0" w:hanging="0"/>
              <w:jc w:val="center"/>
              <w:rPr/>
            </w:pPr>
            <w:r>
              <w:rPr>
                <w:rFonts w:ascii="Arial" w:hAnsi="Arial"/>
                <w:b w:val="false"/>
                <w:i w:val="false"/>
                <w:color w:val="000000"/>
                <w:sz w:val="15"/>
              </w:rPr>
              <w:t>14000 гривень</w:t>
            </w:r>
            <w:bookmarkStart w:id="88" w:name="89"/>
            <w:bookmarkEnd w:id="88"/>
          </w:p>
        </w:tc>
      </w:tr>
      <w:tr>
        <w:trPr>
          <w:trHeight w:val="45" w:hRule="atLeast"/>
        </w:trPr>
        <w:tc>
          <w:tcPr>
            <w:tcW w:w="583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ind w:left="0" w:hanging="0"/>
              <w:jc w:val="center"/>
              <w:rPr/>
            </w:pPr>
            <w:r>
              <w:rPr>
                <w:rFonts w:ascii="Arial" w:hAnsi="Arial"/>
                <w:b w:val="false"/>
                <w:i w:val="false"/>
                <w:color w:val="000000"/>
                <w:sz w:val="15"/>
              </w:rPr>
              <w:t>20</w:t>
            </w:r>
            <w:bookmarkStart w:id="89" w:name="90"/>
            <w:bookmarkEnd w:id="89"/>
          </w:p>
        </w:tc>
        <w:tc>
          <w:tcPr>
            <w:tcW w:w="629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ind w:left="0" w:hanging="0"/>
              <w:jc w:val="left"/>
              <w:rPr/>
            </w:pPr>
            <w:r>
              <w:rPr>
                <w:rFonts w:ascii="Arial" w:hAnsi="Arial"/>
                <w:b w:val="false"/>
                <w:i w:val="false"/>
                <w:color w:val="000000"/>
                <w:sz w:val="15"/>
              </w:rPr>
              <w:t>Погодження на створення професійним учасником ринків капіталу та організованих товарних ринків відокремленого підрозділу за межами України</w:t>
            </w:r>
            <w:bookmarkStart w:id="90" w:name="91"/>
            <w:bookmarkEnd w:id="90"/>
          </w:p>
        </w:tc>
        <w:tc>
          <w:tcPr>
            <w:tcW w:w="281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ind w:left="0" w:hanging="0"/>
              <w:jc w:val="center"/>
              <w:rPr/>
            </w:pPr>
            <w:r>
              <w:rPr>
                <w:rFonts w:ascii="Arial" w:hAnsi="Arial"/>
                <w:b w:val="false"/>
                <w:i w:val="false"/>
                <w:color w:val="000000"/>
                <w:sz w:val="15"/>
              </w:rPr>
              <w:t>14000 гривень</w:t>
            </w:r>
            <w:bookmarkStart w:id="91" w:name="92"/>
            <w:bookmarkEnd w:id="91"/>
          </w:p>
        </w:tc>
      </w:tr>
      <w:tr>
        <w:trPr>
          <w:trHeight w:val="45" w:hRule="atLeast"/>
        </w:trPr>
        <w:tc>
          <w:tcPr>
            <w:tcW w:w="583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ind w:left="0" w:hanging="0"/>
              <w:jc w:val="center"/>
              <w:rPr/>
            </w:pPr>
            <w:r>
              <w:rPr>
                <w:rFonts w:ascii="Arial" w:hAnsi="Arial"/>
                <w:b w:val="false"/>
                <w:i w:val="false"/>
                <w:color w:val="000000"/>
                <w:sz w:val="15"/>
              </w:rPr>
              <w:t>21</w:t>
            </w:r>
            <w:bookmarkStart w:id="92" w:name="93"/>
            <w:bookmarkEnd w:id="92"/>
          </w:p>
        </w:tc>
        <w:tc>
          <w:tcPr>
            <w:tcW w:w="629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ind w:left="0" w:hanging="0"/>
              <w:jc w:val="left"/>
              <w:rPr/>
            </w:pPr>
            <w:r>
              <w:rPr>
                <w:rFonts w:ascii="Arial" w:hAnsi="Arial"/>
                <w:b w:val="false"/>
                <w:i w:val="false"/>
                <w:color w:val="000000"/>
                <w:sz w:val="15"/>
              </w:rPr>
              <w:t>Погодження кандидатур на посади керівників операторів організованих ринків капіталу, організованих товарних ринків та Центрального депозитарію цінних паперів</w:t>
            </w:r>
            <w:bookmarkStart w:id="93" w:name="94"/>
            <w:bookmarkEnd w:id="93"/>
          </w:p>
        </w:tc>
        <w:tc>
          <w:tcPr>
            <w:tcW w:w="281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ind w:left="0" w:hanging="0"/>
              <w:jc w:val="center"/>
              <w:rPr/>
            </w:pPr>
            <w:r>
              <w:rPr>
                <w:rFonts w:ascii="Arial" w:hAnsi="Arial"/>
                <w:b w:val="false"/>
                <w:i w:val="false"/>
                <w:color w:val="000000"/>
                <w:sz w:val="15"/>
              </w:rPr>
              <w:t>14000 гривень</w:t>
            </w:r>
            <w:bookmarkStart w:id="94" w:name="95"/>
            <w:bookmarkEnd w:id="94"/>
          </w:p>
        </w:tc>
      </w:tr>
      <w:tr>
        <w:trPr>
          <w:trHeight w:val="45" w:hRule="atLeast"/>
        </w:trPr>
        <w:tc>
          <w:tcPr>
            <w:tcW w:w="583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ind w:left="0" w:hanging="0"/>
              <w:jc w:val="center"/>
              <w:rPr/>
            </w:pPr>
            <w:r>
              <w:rPr>
                <w:rFonts w:ascii="Arial" w:hAnsi="Arial"/>
                <w:b w:val="false"/>
                <w:i w:val="false"/>
                <w:color w:val="000000"/>
                <w:sz w:val="15"/>
              </w:rPr>
              <w:t>22</w:t>
            </w:r>
            <w:bookmarkStart w:id="95" w:name="96"/>
            <w:bookmarkEnd w:id="95"/>
          </w:p>
        </w:tc>
        <w:tc>
          <w:tcPr>
            <w:tcW w:w="629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ind w:left="0" w:hanging="0"/>
              <w:jc w:val="left"/>
              <w:rPr/>
            </w:pPr>
            <w:r>
              <w:rPr>
                <w:rFonts w:ascii="Arial" w:hAnsi="Arial"/>
                <w:b w:val="false"/>
                <w:i w:val="false"/>
                <w:color w:val="000000"/>
                <w:sz w:val="15"/>
              </w:rPr>
              <w:t>Погодження змін до внутрішніх правил та/або відповідних засобів надавача інформаційних послуг</w:t>
            </w:r>
            <w:bookmarkStart w:id="96" w:name="97"/>
            <w:bookmarkEnd w:id="96"/>
          </w:p>
        </w:tc>
        <w:tc>
          <w:tcPr>
            <w:tcW w:w="281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ind w:left="0" w:hanging="0"/>
              <w:jc w:val="center"/>
              <w:rPr/>
            </w:pPr>
            <w:r>
              <w:rPr>
                <w:rFonts w:ascii="Arial" w:hAnsi="Arial"/>
                <w:b w:val="false"/>
                <w:i w:val="false"/>
                <w:color w:val="000000"/>
                <w:sz w:val="15"/>
              </w:rPr>
              <w:t>7000 гривень</w:t>
            </w:r>
            <w:bookmarkStart w:id="97" w:name="98"/>
            <w:bookmarkEnd w:id="97"/>
          </w:p>
        </w:tc>
      </w:tr>
      <w:tr>
        <w:trPr>
          <w:trHeight w:val="45" w:hRule="atLeast"/>
        </w:trPr>
        <w:tc>
          <w:tcPr>
            <w:tcW w:w="583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ind w:left="0" w:hanging="0"/>
              <w:jc w:val="center"/>
              <w:rPr/>
            </w:pPr>
            <w:r>
              <w:rPr>
                <w:rFonts w:ascii="Arial" w:hAnsi="Arial"/>
                <w:b w:val="false"/>
                <w:i w:val="false"/>
                <w:color w:val="000000"/>
                <w:sz w:val="15"/>
              </w:rPr>
              <w:t>23</w:t>
            </w:r>
            <w:bookmarkStart w:id="98" w:name="99"/>
            <w:bookmarkEnd w:id="98"/>
          </w:p>
        </w:tc>
        <w:tc>
          <w:tcPr>
            <w:tcW w:w="629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ind w:left="0" w:hanging="0"/>
              <w:jc w:val="left"/>
              <w:rPr/>
            </w:pPr>
            <w:r>
              <w:rPr>
                <w:rFonts w:ascii="Arial" w:hAnsi="Arial"/>
                <w:b w:val="false"/>
                <w:i w:val="false"/>
                <w:color w:val="000000"/>
                <w:sz w:val="15"/>
              </w:rPr>
              <w:t>Погодження відповідальної особи небанківської фінансової групи</w:t>
            </w:r>
            <w:bookmarkStart w:id="99" w:name="100"/>
            <w:bookmarkEnd w:id="99"/>
          </w:p>
        </w:tc>
        <w:tc>
          <w:tcPr>
            <w:tcW w:w="281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ind w:left="0" w:hanging="0"/>
              <w:jc w:val="center"/>
              <w:rPr/>
            </w:pPr>
            <w:r>
              <w:rPr>
                <w:rFonts w:ascii="Arial" w:hAnsi="Arial"/>
                <w:b w:val="false"/>
                <w:i w:val="false"/>
                <w:color w:val="000000"/>
                <w:sz w:val="15"/>
              </w:rPr>
              <w:t>14000 гривень</w:t>
            </w:r>
            <w:bookmarkStart w:id="100" w:name="101"/>
            <w:bookmarkEnd w:id="100"/>
          </w:p>
        </w:tc>
      </w:tr>
      <w:tr>
        <w:trPr>
          <w:trHeight w:val="45" w:hRule="atLeast"/>
        </w:trPr>
        <w:tc>
          <w:tcPr>
            <w:tcW w:w="583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ind w:left="0" w:hanging="0"/>
              <w:jc w:val="center"/>
              <w:rPr/>
            </w:pPr>
            <w:r>
              <w:rPr>
                <w:rFonts w:ascii="Arial" w:hAnsi="Arial"/>
                <w:b w:val="false"/>
                <w:i w:val="false"/>
                <w:color w:val="000000"/>
                <w:sz w:val="15"/>
              </w:rPr>
              <w:t>24</w:t>
            </w:r>
            <w:bookmarkStart w:id="101" w:name="102"/>
            <w:bookmarkEnd w:id="101"/>
          </w:p>
        </w:tc>
        <w:tc>
          <w:tcPr>
            <w:tcW w:w="629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ind w:left="0" w:hanging="0"/>
              <w:jc w:val="left"/>
              <w:rPr/>
            </w:pPr>
            <w:r>
              <w:rPr>
                <w:rFonts w:ascii="Arial" w:hAnsi="Arial"/>
                <w:b w:val="false"/>
                <w:i w:val="false"/>
                <w:color w:val="000000"/>
                <w:sz w:val="15"/>
              </w:rPr>
              <w:t>Погодження статуту (змін до статуту) операторів організованих ринків</w:t>
            </w:r>
            <w:bookmarkStart w:id="102" w:name="103"/>
            <w:bookmarkEnd w:id="102"/>
          </w:p>
        </w:tc>
        <w:tc>
          <w:tcPr>
            <w:tcW w:w="281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ind w:left="0" w:hanging="0"/>
              <w:jc w:val="center"/>
              <w:rPr/>
            </w:pPr>
            <w:r>
              <w:rPr>
                <w:rFonts w:ascii="Arial" w:hAnsi="Arial"/>
                <w:b w:val="false"/>
                <w:i w:val="false"/>
                <w:color w:val="000000"/>
                <w:sz w:val="15"/>
              </w:rPr>
              <w:t>14000 гривень</w:t>
            </w:r>
            <w:bookmarkStart w:id="103" w:name="104"/>
            <w:bookmarkEnd w:id="103"/>
          </w:p>
        </w:tc>
      </w:tr>
      <w:tr>
        <w:trPr>
          <w:trHeight w:val="45" w:hRule="atLeast"/>
        </w:trPr>
        <w:tc>
          <w:tcPr>
            <w:tcW w:w="583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ind w:left="0" w:hanging="0"/>
              <w:jc w:val="center"/>
              <w:rPr/>
            </w:pPr>
            <w:r>
              <w:rPr>
                <w:rFonts w:ascii="Arial" w:hAnsi="Arial"/>
                <w:b w:val="false"/>
                <w:i w:val="false"/>
                <w:color w:val="000000"/>
                <w:sz w:val="15"/>
              </w:rPr>
              <w:t>25</w:t>
            </w:r>
            <w:bookmarkStart w:id="104" w:name="105"/>
            <w:bookmarkEnd w:id="104"/>
          </w:p>
        </w:tc>
        <w:tc>
          <w:tcPr>
            <w:tcW w:w="629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ind w:left="0" w:hanging="0"/>
              <w:jc w:val="left"/>
              <w:rPr/>
            </w:pPr>
            <w:r>
              <w:rPr>
                <w:rFonts w:ascii="Arial" w:hAnsi="Arial"/>
                <w:b w:val="false"/>
                <w:i w:val="false"/>
                <w:color w:val="000000"/>
                <w:sz w:val="15"/>
              </w:rPr>
              <w:t>Погодження статуту (змін до статуту) Центрального депозитарію цінних паперів</w:t>
            </w:r>
            <w:bookmarkStart w:id="105" w:name="106"/>
            <w:bookmarkEnd w:id="105"/>
          </w:p>
        </w:tc>
        <w:tc>
          <w:tcPr>
            <w:tcW w:w="281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ind w:left="0" w:hanging="0"/>
              <w:jc w:val="center"/>
              <w:rPr/>
            </w:pPr>
            <w:r>
              <w:rPr>
                <w:rFonts w:ascii="Arial" w:hAnsi="Arial"/>
                <w:b w:val="false"/>
                <w:i w:val="false"/>
                <w:color w:val="000000"/>
                <w:sz w:val="15"/>
              </w:rPr>
              <w:t>14000 гривень</w:t>
            </w:r>
            <w:bookmarkStart w:id="106" w:name="107"/>
            <w:bookmarkEnd w:id="106"/>
          </w:p>
        </w:tc>
      </w:tr>
      <w:tr>
        <w:trPr>
          <w:trHeight w:val="45" w:hRule="atLeast"/>
        </w:trPr>
        <w:tc>
          <w:tcPr>
            <w:tcW w:w="583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ind w:left="0" w:hanging="0"/>
              <w:jc w:val="center"/>
              <w:rPr/>
            </w:pPr>
            <w:r>
              <w:rPr>
                <w:rFonts w:ascii="Arial" w:hAnsi="Arial"/>
                <w:b w:val="false"/>
                <w:i w:val="false"/>
                <w:color w:val="000000"/>
                <w:sz w:val="15"/>
              </w:rPr>
              <w:t>26</w:t>
            </w:r>
            <w:bookmarkStart w:id="107" w:name="108"/>
            <w:bookmarkEnd w:id="107"/>
          </w:p>
        </w:tc>
        <w:tc>
          <w:tcPr>
            <w:tcW w:w="629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ind w:left="0" w:hanging="0"/>
              <w:jc w:val="left"/>
              <w:rPr/>
            </w:pPr>
            <w:r>
              <w:rPr>
                <w:rFonts w:ascii="Arial" w:hAnsi="Arial"/>
                <w:b w:val="false"/>
                <w:i w:val="false"/>
                <w:color w:val="000000"/>
                <w:sz w:val="15"/>
              </w:rPr>
              <w:t>Погодження статуту недержавного пенсійного фонду</w:t>
            </w:r>
            <w:bookmarkStart w:id="108" w:name="109"/>
            <w:bookmarkEnd w:id="108"/>
          </w:p>
        </w:tc>
        <w:tc>
          <w:tcPr>
            <w:tcW w:w="281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ind w:left="0" w:hanging="0"/>
              <w:jc w:val="center"/>
              <w:rPr/>
            </w:pPr>
            <w:r>
              <w:rPr>
                <w:rFonts w:ascii="Arial" w:hAnsi="Arial"/>
                <w:b w:val="false"/>
                <w:i w:val="false"/>
                <w:color w:val="000000"/>
                <w:sz w:val="15"/>
              </w:rPr>
              <w:t>14000 гривень</w:t>
            </w:r>
            <w:bookmarkStart w:id="109" w:name="110"/>
            <w:bookmarkEnd w:id="109"/>
          </w:p>
        </w:tc>
      </w:tr>
      <w:tr>
        <w:trPr>
          <w:trHeight w:val="45" w:hRule="atLeast"/>
        </w:trPr>
        <w:tc>
          <w:tcPr>
            <w:tcW w:w="583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ind w:left="0" w:hanging="0"/>
              <w:jc w:val="center"/>
              <w:rPr/>
            </w:pPr>
            <w:r>
              <w:rPr>
                <w:rFonts w:ascii="Arial" w:hAnsi="Arial"/>
                <w:b w:val="false"/>
                <w:i w:val="false"/>
                <w:color w:val="000000"/>
                <w:sz w:val="15"/>
              </w:rPr>
              <w:t>27</w:t>
            </w:r>
            <w:bookmarkStart w:id="110" w:name="111"/>
            <w:bookmarkEnd w:id="110"/>
          </w:p>
        </w:tc>
        <w:tc>
          <w:tcPr>
            <w:tcW w:w="629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ind w:left="0" w:hanging="0"/>
              <w:jc w:val="left"/>
              <w:rPr/>
            </w:pPr>
            <w:r>
              <w:rPr>
                <w:rFonts w:ascii="Arial" w:hAnsi="Arial"/>
                <w:b w:val="false"/>
                <w:i w:val="false"/>
                <w:color w:val="000000"/>
                <w:sz w:val="15"/>
              </w:rPr>
              <w:t>Погодження змін до статуту недержавного пенсійного фонду</w:t>
            </w:r>
            <w:bookmarkStart w:id="111" w:name="112"/>
            <w:bookmarkEnd w:id="111"/>
          </w:p>
        </w:tc>
        <w:tc>
          <w:tcPr>
            <w:tcW w:w="281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ind w:left="0" w:hanging="0"/>
              <w:jc w:val="center"/>
              <w:rPr/>
            </w:pPr>
            <w:r>
              <w:rPr>
                <w:rFonts w:ascii="Arial" w:hAnsi="Arial"/>
                <w:b w:val="false"/>
                <w:i w:val="false"/>
                <w:color w:val="000000"/>
                <w:sz w:val="15"/>
              </w:rPr>
              <w:t>7000 гривень</w:t>
            </w:r>
            <w:bookmarkStart w:id="112" w:name="113"/>
            <w:bookmarkEnd w:id="112"/>
          </w:p>
        </w:tc>
      </w:tr>
      <w:tr>
        <w:trPr>
          <w:trHeight w:val="45" w:hRule="atLeast"/>
        </w:trPr>
        <w:tc>
          <w:tcPr>
            <w:tcW w:w="583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ind w:left="0" w:hanging="0"/>
              <w:jc w:val="center"/>
              <w:rPr/>
            </w:pPr>
            <w:r>
              <w:rPr>
                <w:rFonts w:ascii="Arial" w:hAnsi="Arial"/>
                <w:b w:val="false"/>
                <w:i w:val="false"/>
                <w:color w:val="000000"/>
                <w:sz w:val="15"/>
              </w:rPr>
              <w:t>28</w:t>
            </w:r>
            <w:bookmarkStart w:id="113" w:name="114"/>
            <w:bookmarkEnd w:id="113"/>
          </w:p>
        </w:tc>
        <w:tc>
          <w:tcPr>
            <w:tcW w:w="629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ind w:left="0" w:hanging="0"/>
              <w:jc w:val="left"/>
              <w:rPr/>
            </w:pPr>
            <w:r>
              <w:rPr>
                <w:rFonts w:ascii="Arial" w:hAnsi="Arial"/>
                <w:b w:val="false"/>
                <w:i w:val="false"/>
                <w:color w:val="000000"/>
                <w:sz w:val="15"/>
              </w:rPr>
              <w:t>Погодження кандидатур осіб, делегованих до ради недержавного пенсійного фонду</w:t>
            </w:r>
            <w:bookmarkStart w:id="114" w:name="115"/>
            <w:bookmarkEnd w:id="114"/>
          </w:p>
        </w:tc>
        <w:tc>
          <w:tcPr>
            <w:tcW w:w="281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ind w:left="0" w:hanging="0"/>
              <w:jc w:val="center"/>
              <w:rPr/>
            </w:pPr>
            <w:r>
              <w:rPr>
                <w:rFonts w:ascii="Arial" w:hAnsi="Arial"/>
                <w:b w:val="false"/>
                <w:i w:val="false"/>
                <w:color w:val="000000"/>
                <w:sz w:val="15"/>
              </w:rPr>
              <w:t>14000 гривень</w:t>
            </w:r>
            <w:bookmarkStart w:id="115" w:name="116"/>
            <w:bookmarkEnd w:id="115"/>
          </w:p>
        </w:tc>
      </w:tr>
      <w:tr>
        <w:trPr>
          <w:trHeight w:val="45" w:hRule="atLeast"/>
        </w:trPr>
        <w:tc>
          <w:tcPr>
            <w:tcW w:w="583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ind w:left="0" w:hanging="0"/>
              <w:jc w:val="center"/>
              <w:rPr/>
            </w:pPr>
            <w:r>
              <w:rPr>
                <w:rFonts w:ascii="Arial" w:hAnsi="Arial"/>
                <w:b w:val="false"/>
                <w:i w:val="false"/>
                <w:color w:val="000000"/>
                <w:sz w:val="15"/>
              </w:rPr>
              <w:t>29</w:t>
            </w:r>
            <w:bookmarkStart w:id="116" w:name="117"/>
            <w:bookmarkEnd w:id="116"/>
          </w:p>
        </w:tc>
        <w:tc>
          <w:tcPr>
            <w:tcW w:w="629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ind w:left="0" w:hanging="0"/>
              <w:jc w:val="left"/>
              <w:rPr/>
            </w:pPr>
            <w:r>
              <w:rPr>
                <w:rFonts w:ascii="Arial" w:hAnsi="Arial"/>
                <w:b w:val="false"/>
                <w:i w:val="false"/>
                <w:color w:val="000000"/>
                <w:sz w:val="15"/>
              </w:rPr>
              <w:t>Погодження розповсюдження рекламних матеріалів щодо послуг з недержавного пенсійного забезпечення</w:t>
            </w:r>
            <w:bookmarkStart w:id="117" w:name="118"/>
            <w:bookmarkEnd w:id="117"/>
          </w:p>
        </w:tc>
        <w:tc>
          <w:tcPr>
            <w:tcW w:w="281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ind w:left="0" w:hanging="0"/>
              <w:jc w:val="center"/>
              <w:rPr/>
            </w:pPr>
            <w:r>
              <w:rPr>
                <w:rFonts w:ascii="Arial" w:hAnsi="Arial"/>
                <w:b w:val="false"/>
                <w:i w:val="false"/>
                <w:color w:val="000000"/>
                <w:sz w:val="15"/>
              </w:rPr>
              <w:t>7000 гривень</w:t>
            </w:r>
            <w:bookmarkStart w:id="118" w:name="119"/>
            <w:bookmarkEnd w:id="118"/>
          </w:p>
        </w:tc>
      </w:tr>
      <w:tr>
        <w:trPr>
          <w:trHeight w:val="45" w:hRule="atLeast"/>
        </w:trPr>
        <w:tc>
          <w:tcPr>
            <w:tcW w:w="583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ind w:left="0" w:hanging="0"/>
              <w:jc w:val="center"/>
              <w:rPr/>
            </w:pPr>
            <w:r>
              <w:rPr>
                <w:rFonts w:ascii="Arial" w:hAnsi="Arial"/>
                <w:b w:val="false"/>
                <w:i w:val="false"/>
                <w:color w:val="000000"/>
                <w:sz w:val="15"/>
              </w:rPr>
              <w:t>30</w:t>
            </w:r>
            <w:bookmarkStart w:id="119" w:name="120"/>
            <w:bookmarkEnd w:id="119"/>
          </w:p>
        </w:tc>
        <w:tc>
          <w:tcPr>
            <w:tcW w:w="629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ind w:left="0" w:hanging="0"/>
              <w:jc w:val="left"/>
              <w:rPr/>
            </w:pPr>
            <w:r>
              <w:rPr>
                <w:rFonts w:ascii="Arial" w:hAnsi="Arial"/>
                <w:b w:val="false"/>
                <w:i w:val="false"/>
                <w:color w:val="000000"/>
                <w:sz w:val="15"/>
              </w:rPr>
              <w:t>Реєстрація змін до проспекту емісії (інформації про випуск) цінних паперів (крім випадку, якщо зміни до проспекту емісії цінних паперів інституту спільного інвестування пов'язані з наступним випуском цінних паперів інституту спільного інвестування)</w:t>
            </w:r>
            <w:bookmarkStart w:id="120" w:name="121"/>
            <w:bookmarkEnd w:id="120"/>
          </w:p>
        </w:tc>
        <w:tc>
          <w:tcPr>
            <w:tcW w:w="281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ind w:left="0" w:hanging="0"/>
              <w:jc w:val="center"/>
              <w:rPr/>
            </w:pPr>
            <w:r>
              <w:rPr>
                <w:rFonts w:ascii="Arial" w:hAnsi="Arial"/>
                <w:b w:val="false"/>
                <w:i w:val="false"/>
                <w:color w:val="000000"/>
                <w:sz w:val="15"/>
              </w:rPr>
              <w:t>7000 гривень</w:t>
            </w:r>
            <w:bookmarkStart w:id="121" w:name="122"/>
            <w:bookmarkEnd w:id="121"/>
          </w:p>
        </w:tc>
      </w:tr>
      <w:tr>
        <w:trPr>
          <w:trHeight w:val="45" w:hRule="atLeast"/>
        </w:trPr>
        <w:tc>
          <w:tcPr>
            <w:tcW w:w="583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ind w:left="0" w:hanging="0"/>
              <w:jc w:val="center"/>
              <w:rPr/>
            </w:pPr>
            <w:r>
              <w:rPr>
                <w:rFonts w:ascii="Arial" w:hAnsi="Arial"/>
                <w:b w:val="false"/>
                <w:i w:val="false"/>
                <w:color w:val="000000"/>
                <w:sz w:val="15"/>
              </w:rPr>
              <w:t>31</w:t>
            </w:r>
            <w:bookmarkStart w:id="122" w:name="123"/>
            <w:bookmarkEnd w:id="122"/>
          </w:p>
        </w:tc>
        <w:tc>
          <w:tcPr>
            <w:tcW w:w="629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ind w:left="0" w:hanging="0"/>
              <w:jc w:val="left"/>
              <w:rPr/>
            </w:pPr>
            <w:r>
              <w:rPr>
                <w:rFonts w:ascii="Arial" w:hAnsi="Arial"/>
                <w:b w:val="false"/>
                <w:i w:val="false"/>
                <w:color w:val="000000"/>
                <w:sz w:val="15"/>
              </w:rPr>
              <w:t>Реєстрація змін до інформації про випуск інвестиційних сертифікатів інвестиційних фондів та взаємних фондів інвестиційних компаній</w:t>
            </w:r>
            <w:bookmarkStart w:id="123" w:name="124"/>
            <w:bookmarkEnd w:id="123"/>
          </w:p>
        </w:tc>
        <w:tc>
          <w:tcPr>
            <w:tcW w:w="281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ind w:left="0" w:hanging="0"/>
              <w:jc w:val="center"/>
              <w:rPr/>
            </w:pPr>
            <w:r>
              <w:rPr>
                <w:rFonts w:ascii="Arial" w:hAnsi="Arial"/>
                <w:b w:val="false"/>
                <w:i w:val="false"/>
                <w:color w:val="000000"/>
                <w:sz w:val="15"/>
              </w:rPr>
              <w:t>7000 гривень</w:t>
            </w:r>
            <w:bookmarkStart w:id="124" w:name="125"/>
            <w:bookmarkEnd w:id="124"/>
          </w:p>
        </w:tc>
      </w:tr>
      <w:tr>
        <w:trPr>
          <w:trHeight w:val="45" w:hRule="atLeast"/>
        </w:trPr>
        <w:tc>
          <w:tcPr>
            <w:tcW w:w="583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ind w:left="0" w:hanging="0"/>
              <w:jc w:val="center"/>
              <w:rPr/>
            </w:pPr>
            <w:r>
              <w:rPr>
                <w:rFonts w:ascii="Arial" w:hAnsi="Arial"/>
                <w:b w:val="false"/>
                <w:i w:val="false"/>
                <w:color w:val="000000"/>
                <w:sz w:val="15"/>
              </w:rPr>
              <w:t>32</w:t>
            </w:r>
            <w:bookmarkStart w:id="125" w:name="126"/>
            <w:bookmarkEnd w:id="125"/>
          </w:p>
        </w:tc>
        <w:tc>
          <w:tcPr>
            <w:tcW w:w="629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ind w:left="0" w:hanging="0"/>
              <w:jc w:val="left"/>
              <w:rPr/>
            </w:pPr>
            <w:r>
              <w:rPr>
                <w:rFonts w:ascii="Arial" w:hAnsi="Arial"/>
                <w:b w:val="false"/>
                <w:i w:val="false"/>
                <w:color w:val="000000"/>
                <w:sz w:val="15"/>
              </w:rPr>
              <w:t>Реєстрація регламенту інституту спільного інвестування та внесення відомостей про інститут спільного інвестування до Єдиного державного реєстру інститутів спільного інвестування з видачею свідоцтва про внесення відомостей про інститут спільного інвестування до Єдиного державного реєстру інститутів спільного інвестування; та реєстрація звіту про результати приватного розміщення акцій з метою формування початкового статутного капіталу корпоративного інвестиційного фонду з видачею свідоцтва про реєстрацію випуску акцій</w:t>
            </w:r>
            <w:bookmarkStart w:id="126" w:name="127"/>
            <w:bookmarkEnd w:id="126"/>
          </w:p>
        </w:tc>
        <w:tc>
          <w:tcPr>
            <w:tcW w:w="281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ind w:left="0" w:hanging="0"/>
              <w:jc w:val="center"/>
              <w:rPr/>
            </w:pPr>
            <w:r>
              <w:rPr>
                <w:rFonts w:ascii="Arial" w:hAnsi="Arial"/>
                <w:b w:val="false"/>
                <w:i w:val="false"/>
                <w:color w:val="000000"/>
                <w:sz w:val="15"/>
              </w:rPr>
              <w:t>14000 гривень</w:t>
            </w:r>
            <w:bookmarkStart w:id="127" w:name="128"/>
            <w:bookmarkEnd w:id="127"/>
          </w:p>
        </w:tc>
      </w:tr>
      <w:tr>
        <w:trPr>
          <w:trHeight w:val="45" w:hRule="atLeast"/>
        </w:trPr>
        <w:tc>
          <w:tcPr>
            <w:tcW w:w="583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ind w:left="0" w:hanging="0"/>
              <w:jc w:val="center"/>
              <w:rPr/>
            </w:pPr>
            <w:r>
              <w:rPr>
                <w:rFonts w:ascii="Arial" w:hAnsi="Arial"/>
                <w:b w:val="false"/>
                <w:i w:val="false"/>
                <w:color w:val="000000"/>
                <w:sz w:val="15"/>
              </w:rPr>
              <w:t>33</w:t>
            </w:r>
            <w:bookmarkStart w:id="128" w:name="129"/>
            <w:bookmarkEnd w:id="128"/>
          </w:p>
        </w:tc>
        <w:tc>
          <w:tcPr>
            <w:tcW w:w="629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ind w:left="0" w:hanging="0"/>
              <w:jc w:val="left"/>
              <w:rPr/>
            </w:pPr>
            <w:r>
              <w:rPr>
                <w:rFonts w:ascii="Arial" w:hAnsi="Arial"/>
                <w:b w:val="false"/>
                <w:i w:val="false"/>
                <w:color w:val="000000"/>
                <w:sz w:val="15"/>
              </w:rPr>
              <w:t>Реєстрація регламенту пайового інвестиційного фонду та внесення відомостей про пайовий інвестиційний фонд до Єдиного державного реєстру інститутів спільного інвестування з видачею свідоцтва про внесення відомостей про пайовий інвестиційний фонд до Єдиного державного реєстру інститутів спільного інвестування</w:t>
            </w:r>
            <w:bookmarkStart w:id="129" w:name="130"/>
            <w:bookmarkEnd w:id="129"/>
          </w:p>
        </w:tc>
        <w:tc>
          <w:tcPr>
            <w:tcW w:w="281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ind w:left="0" w:hanging="0"/>
              <w:jc w:val="center"/>
              <w:rPr/>
            </w:pPr>
            <w:r>
              <w:rPr>
                <w:rFonts w:ascii="Arial" w:hAnsi="Arial"/>
                <w:b w:val="false"/>
                <w:i w:val="false"/>
                <w:color w:val="000000"/>
                <w:sz w:val="15"/>
              </w:rPr>
              <w:t>7000 гривень</w:t>
            </w:r>
            <w:bookmarkStart w:id="130" w:name="131"/>
            <w:bookmarkEnd w:id="130"/>
          </w:p>
        </w:tc>
      </w:tr>
      <w:tr>
        <w:trPr>
          <w:trHeight w:val="45" w:hRule="atLeast"/>
        </w:trPr>
        <w:tc>
          <w:tcPr>
            <w:tcW w:w="583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ind w:left="0" w:hanging="0"/>
              <w:jc w:val="center"/>
              <w:rPr/>
            </w:pPr>
            <w:r>
              <w:rPr>
                <w:rFonts w:ascii="Arial" w:hAnsi="Arial"/>
                <w:b w:val="false"/>
                <w:i w:val="false"/>
                <w:color w:val="000000"/>
                <w:sz w:val="15"/>
              </w:rPr>
              <w:t>34</w:t>
            </w:r>
            <w:bookmarkStart w:id="131" w:name="132"/>
            <w:bookmarkEnd w:id="131"/>
          </w:p>
        </w:tc>
        <w:tc>
          <w:tcPr>
            <w:tcW w:w="629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ind w:left="0" w:hanging="0"/>
              <w:jc w:val="left"/>
              <w:rPr/>
            </w:pPr>
            <w:r>
              <w:rPr>
                <w:rFonts w:ascii="Arial" w:hAnsi="Arial"/>
                <w:b w:val="false"/>
                <w:i w:val="false"/>
                <w:color w:val="000000"/>
                <w:sz w:val="15"/>
              </w:rPr>
              <w:t>Реєстрація змін до регламенту інституту спільного інвестування</w:t>
            </w:r>
            <w:bookmarkStart w:id="132" w:name="133"/>
            <w:bookmarkEnd w:id="132"/>
          </w:p>
        </w:tc>
        <w:tc>
          <w:tcPr>
            <w:tcW w:w="281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ind w:left="0" w:hanging="0"/>
              <w:jc w:val="center"/>
              <w:rPr/>
            </w:pPr>
            <w:r>
              <w:rPr>
                <w:rFonts w:ascii="Arial" w:hAnsi="Arial"/>
                <w:b w:val="false"/>
                <w:i w:val="false"/>
                <w:color w:val="000000"/>
                <w:sz w:val="15"/>
              </w:rPr>
              <w:t>7000 гривень</w:t>
            </w:r>
            <w:bookmarkStart w:id="133" w:name="134"/>
            <w:bookmarkEnd w:id="133"/>
          </w:p>
        </w:tc>
      </w:tr>
      <w:tr>
        <w:trPr>
          <w:trHeight w:val="45" w:hRule="atLeast"/>
        </w:trPr>
        <w:tc>
          <w:tcPr>
            <w:tcW w:w="583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ind w:left="0" w:hanging="0"/>
              <w:jc w:val="center"/>
              <w:rPr/>
            </w:pPr>
            <w:r>
              <w:rPr>
                <w:rFonts w:ascii="Arial" w:hAnsi="Arial"/>
                <w:b w:val="false"/>
                <w:i w:val="false"/>
                <w:color w:val="000000"/>
                <w:sz w:val="15"/>
              </w:rPr>
              <w:t>35</w:t>
            </w:r>
            <w:bookmarkStart w:id="134" w:name="135"/>
            <w:bookmarkEnd w:id="134"/>
          </w:p>
        </w:tc>
        <w:tc>
          <w:tcPr>
            <w:tcW w:w="629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ind w:left="0" w:hanging="0"/>
              <w:jc w:val="left"/>
              <w:rPr/>
            </w:pPr>
            <w:r>
              <w:rPr>
                <w:rFonts w:ascii="Arial" w:hAnsi="Arial"/>
                <w:b w:val="false"/>
                <w:i w:val="false"/>
                <w:color w:val="000000"/>
                <w:sz w:val="15"/>
              </w:rPr>
              <w:t>Реєстрація звіту про результати емісії / розміщення цінних паперів (крім цінних паперів інститутів спільного інвестування)</w:t>
            </w:r>
            <w:bookmarkStart w:id="135" w:name="136"/>
            <w:bookmarkEnd w:id="135"/>
          </w:p>
        </w:tc>
        <w:tc>
          <w:tcPr>
            <w:tcW w:w="281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ind w:left="0" w:hanging="0"/>
              <w:jc w:val="center"/>
              <w:rPr/>
            </w:pPr>
            <w:r>
              <w:rPr>
                <w:rFonts w:ascii="Arial" w:hAnsi="Arial"/>
                <w:b w:val="false"/>
                <w:i w:val="false"/>
                <w:color w:val="000000"/>
                <w:sz w:val="15"/>
              </w:rPr>
              <w:t>14000 гривень</w:t>
            </w:r>
            <w:bookmarkStart w:id="136" w:name="137"/>
            <w:bookmarkEnd w:id="136"/>
          </w:p>
        </w:tc>
      </w:tr>
      <w:tr>
        <w:trPr>
          <w:trHeight w:val="45" w:hRule="atLeast"/>
        </w:trPr>
        <w:tc>
          <w:tcPr>
            <w:tcW w:w="583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ind w:left="0" w:hanging="0"/>
              <w:jc w:val="center"/>
              <w:rPr/>
            </w:pPr>
            <w:r>
              <w:rPr>
                <w:rFonts w:ascii="Arial" w:hAnsi="Arial"/>
                <w:b w:val="false"/>
                <w:i w:val="false"/>
                <w:color w:val="000000"/>
                <w:sz w:val="15"/>
              </w:rPr>
              <w:t>36</w:t>
            </w:r>
            <w:bookmarkStart w:id="137" w:name="138"/>
            <w:bookmarkEnd w:id="137"/>
          </w:p>
        </w:tc>
        <w:tc>
          <w:tcPr>
            <w:tcW w:w="629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ind w:left="0" w:hanging="0"/>
              <w:jc w:val="left"/>
              <w:rPr/>
            </w:pPr>
            <w:r>
              <w:rPr>
                <w:rFonts w:ascii="Arial" w:hAnsi="Arial"/>
                <w:b w:val="false"/>
                <w:i w:val="false"/>
                <w:color w:val="000000"/>
                <w:sz w:val="15"/>
              </w:rPr>
              <w:t>Реєстрація реструктуризації боргових зобов'язань за запозиченням шляхом розміщення облігацій внутрішніх місцевих позик</w:t>
            </w:r>
            <w:bookmarkStart w:id="138" w:name="139"/>
            <w:bookmarkEnd w:id="138"/>
          </w:p>
        </w:tc>
        <w:tc>
          <w:tcPr>
            <w:tcW w:w="281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ind w:left="0" w:hanging="0"/>
              <w:jc w:val="center"/>
              <w:rPr/>
            </w:pPr>
            <w:r>
              <w:rPr>
                <w:rFonts w:ascii="Arial" w:hAnsi="Arial"/>
                <w:b w:val="false"/>
                <w:i w:val="false"/>
                <w:color w:val="000000"/>
                <w:sz w:val="15"/>
              </w:rPr>
              <w:t>7000 гривень</w:t>
            </w:r>
            <w:bookmarkStart w:id="139" w:name="140"/>
            <w:bookmarkEnd w:id="139"/>
          </w:p>
        </w:tc>
      </w:tr>
      <w:tr>
        <w:trPr>
          <w:trHeight w:val="45" w:hRule="atLeast"/>
        </w:trPr>
        <w:tc>
          <w:tcPr>
            <w:tcW w:w="583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ind w:left="0" w:hanging="0"/>
              <w:jc w:val="center"/>
              <w:rPr/>
            </w:pPr>
            <w:r>
              <w:rPr>
                <w:rFonts w:ascii="Arial" w:hAnsi="Arial"/>
                <w:b w:val="false"/>
                <w:i w:val="false"/>
                <w:color w:val="000000"/>
                <w:sz w:val="15"/>
              </w:rPr>
              <w:t>37</w:t>
            </w:r>
            <w:bookmarkStart w:id="140" w:name="141"/>
            <w:bookmarkEnd w:id="140"/>
          </w:p>
        </w:tc>
        <w:tc>
          <w:tcPr>
            <w:tcW w:w="629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ind w:left="0" w:hanging="0"/>
              <w:jc w:val="left"/>
              <w:rPr/>
            </w:pPr>
            <w:r>
              <w:rPr>
                <w:rFonts w:ascii="Arial" w:hAnsi="Arial"/>
                <w:b w:val="false"/>
                <w:i w:val="false"/>
                <w:color w:val="000000"/>
                <w:sz w:val="15"/>
              </w:rPr>
              <w:t>Реєстрація випуску облігацій внутрішніх місцевих позик, реєстрація випуску облігацій внутрішніх місцевих позик та затвердження проспекту облігацій внутрішніх місцевих позик</w:t>
            </w:r>
            <w:bookmarkStart w:id="141" w:name="142"/>
            <w:bookmarkEnd w:id="141"/>
          </w:p>
        </w:tc>
        <w:tc>
          <w:tcPr>
            <w:tcW w:w="281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ind w:left="0" w:hanging="0"/>
              <w:jc w:val="center"/>
              <w:rPr/>
            </w:pPr>
            <w:r>
              <w:rPr>
                <w:rFonts w:ascii="Arial" w:hAnsi="Arial"/>
                <w:b w:val="false"/>
                <w:i w:val="false"/>
                <w:color w:val="000000"/>
                <w:sz w:val="15"/>
              </w:rPr>
              <w:t>14000 гривень</w:t>
            </w:r>
            <w:bookmarkStart w:id="142" w:name="143"/>
            <w:bookmarkEnd w:id="142"/>
          </w:p>
        </w:tc>
      </w:tr>
      <w:tr>
        <w:trPr>
          <w:trHeight w:val="45" w:hRule="atLeast"/>
        </w:trPr>
        <w:tc>
          <w:tcPr>
            <w:tcW w:w="583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ind w:left="0" w:hanging="0"/>
              <w:jc w:val="center"/>
              <w:rPr/>
            </w:pPr>
            <w:r>
              <w:rPr>
                <w:rFonts w:ascii="Arial" w:hAnsi="Arial"/>
                <w:b w:val="false"/>
                <w:i w:val="false"/>
                <w:color w:val="000000"/>
                <w:sz w:val="15"/>
              </w:rPr>
              <w:t>38</w:t>
            </w:r>
            <w:bookmarkStart w:id="143" w:name="144"/>
            <w:bookmarkEnd w:id="143"/>
          </w:p>
        </w:tc>
        <w:tc>
          <w:tcPr>
            <w:tcW w:w="629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ind w:left="0" w:hanging="0"/>
              <w:jc w:val="left"/>
              <w:rPr/>
            </w:pPr>
            <w:r>
              <w:rPr>
                <w:rFonts w:ascii="Arial" w:hAnsi="Arial"/>
                <w:b w:val="false"/>
                <w:i w:val="false"/>
                <w:color w:val="000000"/>
                <w:sz w:val="15"/>
              </w:rPr>
              <w:t>Реєстрація правил (змін до правил) організованих ринків</w:t>
            </w:r>
            <w:bookmarkStart w:id="144" w:name="145"/>
            <w:bookmarkEnd w:id="144"/>
          </w:p>
        </w:tc>
        <w:tc>
          <w:tcPr>
            <w:tcW w:w="281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ind w:left="0" w:hanging="0"/>
              <w:jc w:val="center"/>
              <w:rPr/>
            </w:pPr>
            <w:r>
              <w:rPr>
                <w:rFonts w:ascii="Arial" w:hAnsi="Arial"/>
                <w:b w:val="false"/>
                <w:i w:val="false"/>
                <w:color w:val="000000"/>
                <w:sz w:val="15"/>
              </w:rPr>
              <w:t>14000 гривень</w:t>
            </w:r>
            <w:bookmarkStart w:id="145" w:name="146"/>
            <w:bookmarkEnd w:id="145"/>
          </w:p>
        </w:tc>
      </w:tr>
      <w:tr>
        <w:trPr>
          <w:trHeight w:val="45" w:hRule="atLeast"/>
        </w:trPr>
        <w:tc>
          <w:tcPr>
            <w:tcW w:w="583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ind w:left="0" w:hanging="0"/>
              <w:jc w:val="center"/>
              <w:rPr/>
            </w:pPr>
            <w:r>
              <w:rPr>
                <w:rFonts w:ascii="Arial" w:hAnsi="Arial"/>
                <w:b w:val="false"/>
                <w:i w:val="false"/>
                <w:color w:val="000000"/>
                <w:sz w:val="15"/>
              </w:rPr>
              <w:t>39</w:t>
            </w:r>
            <w:bookmarkStart w:id="146" w:name="147"/>
            <w:bookmarkEnd w:id="146"/>
          </w:p>
        </w:tc>
        <w:tc>
          <w:tcPr>
            <w:tcW w:w="629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ind w:left="0" w:hanging="0"/>
              <w:jc w:val="left"/>
              <w:rPr/>
            </w:pPr>
            <w:r>
              <w:rPr>
                <w:rFonts w:ascii="Arial" w:hAnsi="Arial"/>
                <w:b w:val="false"/>
                <w:i w:val="false"/>
                <w:color w:val="000000"/>
                <w:sz w:val="15"/>
              </w:rPr>
              <w:t>Реєстрація Правил (змін до Правил) Центрального депозитарію цінних паперів</w:t>
            </w:r>
            <w:bookmarkStart w:id="147" w:name="148"/>
            <w:bookmarkEnd w:id="147"/>
          </w:p>
        </w:tc>
        <w:tc>
          <w:tcPr>
            <w:tcW w:w="281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ind w:left="0" w:hanging="0"/>
              <w:jc w:val="center"/>
              <w:rPr/>
            </w:pPr>
            <w:r>
              <w:rPr>
                <w:rFonts w:ascii="Arial" w:hAnsi="Arial"/>
                <w:b w:val="false"/>
                <w:i w:val="false"/>
                <w:color w:val="000000"/>
                <w:sz w:val="15"/>
              </w:rPr>
              <w:t>14000 гривень</w:t>
            </w:r>
            <w:bookmarkStart w:id="148" w:name="149"/>
            <w:bookmarkEnd w:id="148"/>
          </w:p>
        </w:tc>
      </w:tr>
      <w:tr>
        <w:trPr>
          <w:trHeight w:val="45" w:hRule="atLeast"/>
        </w:trPr>
        <w:tc>
          <w:tcPr>
            <w:tcW w:w="583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ind w:left="0" w:hanging="0"/>
              <w:jc w:val="center"/>
              <w:rPr/>
            </w:pPr>
            <w:r>
              <w:rPr>
                <w:rFonts w:ascii="Arial" w:hAnsi="Arial"/>
                <w:b w:val="false"/>
                <w:i w:val="false"/>
                <w:color w:val="000000"/>
                <w:sz w:val="15"/>
              </w:rPr>
              <w:t>40</w:t>
            </w:r>
            <w:bookmarkStart w:id="149" w:name="150"/>
            <w:bookmarkEnd w:id="149"/>
          </w:p>
        </w:tc>
        <w:tc>
          <w:tcPr>
            <w:tcW w:w="629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ind w:left="0" w:hanging="0"/>
              <w:jc w:val="left"/>
              <w:rPr/>
            </w:pPr>
            <w:r>
              <w:rPr>
                <w:rFonts w:ascii="Arial" w:hAnsi="Arial"/>
                <w:b w:val="false"/>
                <w:i w:val="false"/>
                <w:color w:val="000000"/>
                <w:sz w:val="15"/>
              </w:rPr>
              <w:t>Реєстрація правил (змін до правил) провадження клірингової діяльності та інших внутрішніх документів (змін до них) особи, яка провадить клірингову діяльність</w:t>
            </w:r>
            <w:bookmarkStart w:id="150" w:name="151"/>
            <w:bookmarkEnd w:id="150"/>
          </w:p>
        </w:tc>
        <w:tc>
          <w:tcPr>
            <w:tcW w:w="281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ind w:left="0" w:hanging="0"/>
              <w:jc w:val="center"/>
              <w:rPr/>
            </w:pPr>
            <w:r>
              <w:rPr>
                <w:rFonts w:ascii="Arial" w:hAnsi="Arial"/>
                <w:b w:val="false"/>
                <w:i w:val="false"/>
                <w:color w:val="000000"/>
                <w:sz w:val="15"/>
              </w:rPr>
              <w:t>14000 гривень</w:t>
            </w:r>
            <w:bookmarkStart w:id="151" w:name="152"/>
            <w:bookmarkEnd w:id="151"/>
          </w:p>
        </w:tc>
      </w:tr>
      <w:tr>
        <w:trPr>
          <w:trHeight w:val="45" w:hRule="atLeast"/>
        </w:trPr>
        <w:tc>
          <w:tcPr>
            <w:tcW w:w="583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ind w:left="0" w:hanging="0"/>
              <w:jc w:val="center"/>
              <w:rPr/>
            </w:pPr>
            <w:r>
              <w:rPr>
                <w:rFonts w:ascii="Arial" w:hAnsi="Arial"/>
                <w:b w:val="false"/>
                <w:i w:val="false"/>
                <w:color w:val="000000"/>
                <w:sz w:val="15"/>
              </w:rPr>
              <w:t>41</w:t>
            </w:r>
            <w:bookmarkStart w:id="152" w:name="153"/>
            <w:bookmarkEnd w:id="152"/>
          </w:p>
        </w:tc>
        <w:tc>
          <w:tcPr>
            <w:tcW w:w="629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ind w:left="0" w:hanging="0"/>
              <w:jc w:val="left"/>
              <w:rPr/>
            </w:pPr>
            <w:r>
              <w:rPr>
                <w:rFonts w:ascii="Arial" w:hAnsi="Arial"/>
                <w:b w:val="false"/>
                <w:i w:val="false"/>
                <w:color w:val="000000"/>
                <w:sz w:val="15"/>
              </w:rPr>
              <w:t>Реєстрація пенсійної схеми недержавного пенсійного фонду</w:t>
            </w:r>
            <w:bookmarkStart w:id="153" w:name="154"/>
            <w:bookmarkEnd w:id="153"/>
          </w:p>
        </w:tc>
        <w:tc>
          <w:tcPr>
            <w:tcW w:w="281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ind w:left="0" w:hanging="0"/>
              <w:jc w:val="center"/>
              <w:rPr/>
            </w:pPr>
            <w:r>
              <w:rPr>
                <w:rFonts w:ascii="Arial" w:hAnsi="Arial"/>
                <w:b w:val="false"/>
                <w:i w:val="false"/>
                <w:color w:val="000000"/>
                <w:sz w:val="15"/>
              </w:rPr>
              <w:t>7000 гривень</w:t>
            </w:r>
            <w:bookmarkStart w:id="154" w:name="155"/>
            <w:bookmarkEnd w:id="154"/>
          </w:p>
        </w:tc>
      </w:tr>
      <w:tr>
        <w:trPr>
          <w:trHeight w:val="45" w:hRule="atLeast"/>
        </w:trPr>
        <w:tc>
          <w:tcPr>
            <w:tcW w:w="583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ind w:left="0" w:hanging="0"/>
              <w:jc w:val="center"/>
              <w:rPr/>
            </w:pPr>
            <w:r>
              <w:rPr>
                <w:rFonts w:ascii="Arial" w:hAnsi="Arial"/>
                <w:b w:val="false"/>
                <w:i w:val="false"/>
                <w:color w:val="000000"/>
                <w:sz w:val="15"/>
              </w:rPr>
              <w:t>42</w:t>
            </w:r>
            <w:bookmarkStart w:id="155" w:name="156"/>
            <w:bookmarkEnd w:id="155"/>
          </w:p>
        </w:tc>
        <w:tc>
          <w:tcPr>
            <w:tcW w:w="629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ind w:left="0" w:hanging="0"/>
              <w:jc w:val="left"/>
              <w:rPr/>
            </w:pPr>
            <w:r>
              <w:rPr>
                <w:rFonts w:ascii="Arial" w:hAnsi="Arial"/>
                <w:b w:val="false"/>
                <w:i w:val="false"/>
                <w:color w:val="000000"/>
                <w:sz w:val="15"/>
              </w:rPr>
              <w:t>Реєстрація змін до пенсійної схеми недержавного пенсійного фонду</w:t>
            </w:r>
            <w:bookmarkStart w:id="156" w:name="157"/>
            <w:bookmarkEnd w:id="156"/>
          </w:p>
        </w:tc>
        <w:tc>
          <w:tcPr>
            <w:tcW w:w="281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ind w:left="0" w:hanging="0"/>
              <w:jc w:val="center"/>
              <w:rPr/>
            </w:pPr>
            <w:r>
              <w:rPr>
                <w:rFonts w:ascii="Arial" w:hAnsi="Arial"/>
                <w:b w:val="false"/>
                <w:i w:val="false"/>
                <w:color w:val="000000"/>
                <w:sz w:val="15"/>
              </w:rPr>
              <w:t>7000 гривень</w:t>
            </w:r>
            <w:bookmarkStart w:id="157" w:name="158"/>
            <w:bookmarkEnd w:id="157"/>
          </w:p>
        </w:tc>
      </w:tr>
      <w:tr>
        <w:trPr>
          <w:trHeight w:val="45" w:hRule="atLeast"/>
        </w:trPr>
        <w:tc>
          <w:tcPr>
            <w:tcW w:w="583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ind w:left="0" w:hanging="0"/>
              <w:jc w:val="center"/>
              <w:rPr/>
            </w:pPr>
            <w:r>
              <w:rPr>
                <w:rFonts w:ascii="Arial" w:hAnsi="Arial"/>
                <w:b w:val="false"/>
                <w:i w:val="false"/>
                <w:color w:val="000000"/>
                <w:sz w:val="15"/>
              </w:rPr>
              <w:t>43</w:t>
            </w:r>
            <w:bookmarkStart w:id="158" w:name="159"/>
            <w:bookmarkEnd w:id="158"/>
          </w:p>
        </w:tc>
        <w:tc>
          <w:tcPr>
            <w:tcW w:w="629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ind w:left="0" w:hanging="0"/>
              <w:jc w:val="left"/>
              <w:rPr/>
            </w:pPr>
            <w:r>
              <w:rPr>
                <w:rFonts w:ascii="Arial" w:hAnsi="Arial"/>
                <w:b w:val="false"/>
                <w:i w:val="false"/>
                <w:color w:val="000000"/>
                <w:sz w:val="15"/>
              </w:rPr>
              <w:t>Реєстрація інвестиційної декларації недержавного пенсійного фонду</w:t>
            </w:r>
            <w:bookmarkStart w:id="159" w:name="160"/>
            <w:bookmarkEnd w:id="159"/>
          </w:p>
        </w:tc>
        <w:tc>
          <w:tcPr>
            <w:tcW w:w="281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ind w:left="0" w:hanging="0"/>
              <w:jc w:val="center"/>
              <w:rPr/>
            </w:pPr>
            <w:r>
              <w:rPr>
                <w:rFonts w:ascii="Arial" w:hAnsi="Arial"/>
                <w:b w:val="false"/>
                <w:i w:val="false"/>
                <w:color w:val="000000"/>
                <w:sz w:val="15"/>
              </w:rPr>
              <w:t>7000 гривень</w:t>
            </w:r>
            <w:bookmarkStart w:id="160" w:name="161"/>
            <w:bookmarkEnd w:id="160"/>
          </w:p>
        </w:tc>
      </w:tr>
      <w:tr>
        <w:trPr>
          <w:trHeight w:val="45" w:hRule="atLeast"/>
        </w:trPr>
        <w:tc>
          <w:tcPr>
            <w:tcW w:w="583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ind w:left="0" w:hanging="0"/>
              <w:jc w:val="center"/>
              <w:rPr/>
            </w:pPr>
            <w:r>
              <w:rPr>
                <w:rFonts w:ascii="Arial" w:hAnsi="Arial"/>
                <w:b w:val="false"/>
                <w:i w:val="false"/>
                <w:color w:val="000000"/>
                <w:sz w:val="15"/>
              </w:rPr>
              <w:t>44</w:t>
            </w:r>
            <w:bookmarkStart w:id="161" w:name="162"/>
            <w:bookmarkEnd w:id="161"/>
          </w:p>
        </w:tc>
        <w:tc>
          <w:tcPr>
            <w:tcW w:w="629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ind w:left="0" w:hanging="0"/>
              <w:jc w:val="left"/>
              <w:rPr/>
            </w:pPr>
            <w:r>
              <w:rPr>
                <w:rFonts w:ascii="Arial" w:hAnsi="Arial"/>
                <w:b w:val="false"/>
                <w:i w:val="false"/>
                <w:color w:val="000000"/>
                <w:sz w:val="15"/>
              </w:rPr>
              <w:t>Реєстрація змін до інвестиційної декларації недержавного пенсійного фонду</w:t>
            </w:r>
            <w:bookmarkStart w:id="162" w:name="163"/>
            <w:bookmarkEnd w:id="162"/>
          </w:p>
        </w:tc>
        <w:tc>
          <w:tcPr>
            <w:tcW w:w="281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ind w:left="0" w:hanging="0"/>
              <w:jc w:val="center"/>
              <w:rPr/>
            </w:pPr>
            <w:r>
              <w:rPr>
                <w:rFonts w:ascii="Arial" w:hAnsi="Arial"/>
                <w:b w:val="false"/>
                <w:i w:val="false"/>
                <w:color w:val="000000"/>
                <w:sz w:val="15"/>
              </w:rPr>
              <w:t>7000 гривень</w:t>
            </w:r>
            <w:bookmarkStart w:id="163" w:name="164"/>
            <w:bookmarkEnd w:id="163"/>
          </w:p>
        </w:tc>
      </w:tr>
      <w:tr>
        <w:trPr>
          <w:trHeight w:val="45" w:hRule="atLeast"/>
        </w:trPr>
        <w:tc>
          <w:tcPr>
            <w:tcW w:w="583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ind w:left="0" w:hanging="0"/>
              <w:jc w:val="center"/>
              <w:rPr/>
            </w:pPr>
            <w:r>
              <w:rPr>
                <w:rFonts w:ascii="Arial" w:hAnsi="Arial"/>
                <w:b w:val="false"/>
                <w:i w:val="false"/>
                <w:color w:val="000000"/>
                <w:sz w:val="15"/>
              </w:rPr>
              <w:t>45</w:t>
            </w:r>
            <w:bookmarkStart w:id="164" w:name="165"/>
            <w:bookmarkEnd w:id="164"/>
          </w:p>
        </w:tc>
        <w:tc>
          <w:tcPr>
            <w:tcW w:w="629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ind w:left="0" w:hanging="0"/>
              <w:jc w:val="left"/>
              <w:rPr/>
            </w:pPr>
            <w:r>
              <w:rPr>
                <w:rFonts w:ascii="Arial" w:hAnsi="Arial"/>
                <w:b w:val="false"/>
                <w:i w:val="false"/>
                <w:color w:val="000000"/>
                <w:sz w:val="15"/>
              </w:rPr>
              <w:t>Включення недержавного пенсійного фонду до Державного реєстру фінансових установ та до реєстру недержавних пенсійних фондів</w:t>
            </w:r>
            <w:bookmarkStart w:id="165" w:name="166"/>
            <w:bookmarkEnd w:id="165"/>
          </w:p>
        </w:tc>
        <w:tc>
          <w:tcPr>
            <w:tcW w:w="281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ind w:left="0" w:hanging="0"/>
              <w:jc w:val="center"/>
              <w:rPr/>
            </w:pPr>
            <w:r>
              <w:rPr>
                <w:rFonts w:ascii="Arial" w:hAnsi="Arial"/>
                <w:b w:val="false"/>
                <w:i w:val="false"/>
                <w:color w:val="000000"/>
                <w:sz w:val="15"/>
              </w:rPr>
              <w:t>7000 гривень</w:t>
            </w:r>
            <w:bookmarkStart w:id="166" w:name="167"/>
            <w:bookmarkEnd w:id="166"/>
          </w:p>
        </w:tc>
      </w:tr>
      <w:tr>
        <w:trPr>
          <w:trHeight w:val="45" w:hRule="atLeast"/>
        </w:trPr>
        <w:tc>
          <w:tcPr>
            <w:tcW w:w="583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ind w:left="0" w:hanging="0"/>
              <w:jc w:val="center"/>
              <w:rPr/>
            </w:pPr>
            <w:r>
              <w:rPr>
                <w:rFonts w:ascii="Arial" w:hAnsi="Arial"/>
                <w:b w:val="false"/>
                <w:i w:val="false"/>
                <w:color w:val="000000"/>
                <w:sz w:val="15"/>
              </w:rPr>
              <w:t>46</w:t>
            </w:r>
            <w:bookmarkStart w:id="167" w:name="168"/>
            <w:bookmarkEnd w:id="167"/>
          </w:p>
        </w:tc>
        <w:tc>
          <w:tcPr>
            <w:tcW w:w="629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ind w:left="0" w:hanging="0"/>
              <w:jc w:val="left"/>
              <w:rPr/>
            </w:pPr>
            <w:r>
              <w:rPr>
                <w:rFonts w:ascii="Arial" w:hAnsi="Arial"/>
                <w:b w:val="false"/>
                <w:i w:val="false"/>
                <w:color w:val="000000"/>
                <w:sz w:val="15"/>
              </w:rPr>
              <w:t>Скасування реєстрації випуску цінних паперів (щодо цінних паперів інститутів спільного інвестування, інвестиційних фондів, взаємних фондів інвестиційних компаній)</w:t>
            </w:r>
            <w:bookmarkStart w:id="168" w:name="169"/>
            <w:bookmarkEnd w:id="168"/>
          </w:p>
        </w:tc>
        <w:tc>
          <w:tcPr>
            <w:tcW w:w="281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ind w:left="0" w:hanging="0"/>
              <w:jc w:val="center"/>
              <w:rPr/>
            </w:pPr>
            <w:r>
              <w:rPr>
                <w:rFonts w:ascii="Arial" w:hAnsi="Arial"/>
                <w:b w:val="false"/>
                <w:i w:val="false"/>
                <w:color w:val="000000"/>
                <w:sz w:val="15"/>
              </w:rPr>
              <w:t>7000 гривень</w:t>
            </w:r>
            <w:bookmarkStart w:id="169" w:name="170"/>
            <w:bookmarkEnd w:id="169"/>
          </w:p>
        </w:tc>
      </w:tr>
      <w:tr>
        <w:trPr>
          <w:trHeight w:val="45" w:hRule="atLeast"/>
        </w:trPr>
        <w:tc>
          <w:tcPr>
            <w:tcW w:w="583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ind w:left="0" w:hanging="0"/>
              <w:jc w:val="center"/>
              <w:rPr/>
            </w:pPr>
            <w:r>
              <w:rPr>
                <w:rFonts w:ascii="Arial" w:hAnsi="Arial"/>
                <w:b w:val="false"/>
                <w:i w:val="false"/>
                <w:color w:val="000000"/>
                <w:sz w:val="15"/>
              </w:rPr>
              <w:t>47</w:t>
            </w:r>
            <w:bookmarkStart w:id="170" w:name="171"/>
            <w:bookmarkEnd w:id="170"/>
          </w:p>
        </w:tc>
        <w:tc>
          <w:tcPr>
            <w:tcW w:w="6297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ind w:left="0" w:hanging="0"/>
              <w:jc w:val="left"/>
              <w:rPr/>
            </w:pPr>
            <w:r>
              <w:rPr>
                <w:rFonts w:ascii="Arial" w:hAnsi="Arial"/>
                <w:b w:val="false"/>
                <w:i w:val="false"/>
                <w:color w:val="000000"/>
                <w:sz w:val="15"/>
              </w:rPr>
              <w:t>Скасування реєстрації випуску цінних паперів (облігацій підприємств, облігацій міжнародних фінансових організацій, сертифікатів фонду операцій з нерухомістю) та отримання свідоцтва про реєстрацію нового випуску цінних паперів (облігацій підприємств, облігацій міжнародних фінансових організацій, сертифікатів фонду операцій з нерухомістю) (конвертація)</w:t>
            </w:r>
            <w:bookmarkStart w:id="171" w:name="172"/>
            <w:bookmarkEnd w:id="171"/>
          </w:p>
        </w:tc>
        <w:tc>
          <w:tcPr>
            <w:tcW w:w="2811" w:type="dxa"/>
            <w:tcBorders>
              <w:top w:val="outset" w:sz="8" w:space="0" w:color="000000"/>
              <w:left w:val="outset" w:sz="8" w:space="0" w:color="000000"/>
              <w:bottom w:val="outset" w:sz="8" w:space="0" w:color="000000"/>
              <w:right w:val="outset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ind w:left="0" w:hanging="0"/>
              <w:jc w:val="center"/>
              <w:rPr/>
            </w:pPr>
            <w:r>
              <w:rPr>
                <w:rFonts w:ascii="Arial" w:hAnsi="Arial"/>
                <w:b w:val="false"/>
                <w:i w:val="false"/>
                <w:color w:val="000000"/>
                <w:sz w:val="15"/>
              </w:rPr>
              <w:t>14000 гривень</w:t>
            </w:r>
            <w:bookmarkStart w:id="172" w:name="173"/>
            <w:bookmarkEnd w:id="172"/>
          </w:p>
        </w:tc>
      </w:tr>
    </w:tbl>
    <w:p>
      <w:pPr>
        <w:pStyle w:val="Normal"/>
        <w:ind w:left="0" w:hanging="0"/>
        <w:jc w:val="left"/>
        <w:rPr/>
      </w:pPr>
      <w:r>
        <w:rPr/>
        <w:br/>
      </w:r>
    </w:p>
    <w:p>
      <w:pPr>
        <w:pStyle w:val="Normal"/>
        <w:spacing w:before="0" w:after="0"/>
        <w:ind w:firstLine="240"/>
        <w:jc w:val="left"/>
        <w:rPr/>
      </w:pPr>
      <w:r>
        <w:rPr>
          <w:rFonts w:ascii="Arial" w:hAnsi="Arial"/>
          <w:b w:val="false"/>
          <w:i w:val="false"/>
          <w:color w:val="000000"/>
          <w:sz w:val="18"/>
        </w:rPr>
        <w:t xml:space="preserve"> </w:t>
      </w:r>
      <w:bookmarkStart w:id="173" w:name="174"/>
      <w:bookmarkEnd w:id="173"/>
    </w:p>
    <w:tbl>
      <w:tblPr>
        <w:tblW w:w="969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45"/>
        <w:gridCol w:w="4845"/>
      </w:tblGrid>
      <w:tr>
        <w:trPr>
          <w:trHeight w:val="30" w:hRule="atLeast"/>
        </w:trPr>
        <w:tc>
          <w:tcPr>
            <w:tcW w:w="4845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ind w:left="0" w:hanging="0"/>
              <w:jc w:val="center"/>
              <w:rPr/>
            </w:pPr>
            <w:r>
              <w:rPr>
                <w:rFonts w:ascii="Arial" w:hAnsi="Arial"/>
                <w:b/>
                <w:i w:val="false"/>
                <w:color w:val="000000"/>
                <w:sz w:val="15"/>
              </w:rPr>
              <w:t>Директор</w:t>
            </w:r>
            <w:r>
              <w:rPr/>
              <w:br/>
            </w:r>
            <w:r>
              <w:rPr>
                <w:rFonts w:ascii="Arial" w:hAnsi="Arial"/>
                <w:b/>
                <w:i w:val="false"/>
                <w:color w:val="000000"/>
                <w:sz w:val="15"/>
              </w:rPr>
              <w:t>юридичного департаменту</w:t>
            </w:r>
            <w:bookmarkStart w:id="174" w:name="175"/>
            <w:bookmarkEnd w:id="174"/>
          </w:p>
        </w:tc>
        <w:tc>
          <w:tcPr>
            <w:tcW w:w="4845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ind w:left="0" w:hanging="0"/>
              <w:jc w:val="center"/>
              <w:rPr/>
            </w:pPr>
            <w:r>
              <w:rPr>
                <w:rFonts w:ascii="Arial" w:hAnsi="Arial"/>
                <w:b/>
                <w:i w:val="false"/>
                <w:color w:val="000000"/>
                <w:sz w:val="15"/>
              </w:rPr>
              <w:t>І. Мартиненко</w:t>
            </w:r>
            <w:bookmarkStart w:id="175" w:name="176"/>
            <w:bookmarkEnd w:id="175"/>
          </w:p>
        </w:tc>
      </w:tr>
    </w:tbl>
    <w:p>
      <w:pPr>
        <w:pStyle w:val="Normal"/>
        <w:ind w:left="0" w:hanging="0"/>
        <w:jc w:val="left"/>
        <w:rPr/>
      </w:pPr>
      <w:r>
        <w:rPr/>
        <w:br/>
      </w:r>
    </w:p>
    <w:p>
      <w:pPr>
        <w:pStyle w:val="Normal"/>
        <w:spacing w:before="0" w:after="0"/>
        <w:ind w:firstLine="240"/>
        <w:jc w:val="left"/>
        <w:rPr/>
      </w:pPr>
      <w:r>
        <w:rPr/>
      </w:r>
      <w:bookmarkStart w:id="176" w:name="177"/>
      <w:bookmarkStart w:id="177" w:name="177"/>
      <w:bookmarkEnd w:id="177"/>
    </w:p>
    <w:tbl>
      <w:tblPr>
        <w:tblW w:w="965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09"/>
        <w:gridCol w:w="1240"/>
      </w:tblGrid>
      <w:tr>
        <w:trPr/>
        <w:tc>
          <w:tcPr>
            <w:tcW w:w="8409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ind w:left="0" w:hanging="0"/>
              <w:jc w:val="left"/>
              <w:rPr/>
            </w:pPr>
            <w:r>
              <w:rPr>
                <w:rFonts w:ascii="Arial" w:hAnsi="Arial"/>
                <w:b w:val="false"/>
                <w:i w:val="false"/>
                <w:color w:val="000000"/>
                <w:sz w:val="18"/>
              </w:rPr>
              <w:t>© ТОВ "Інформаційно-аналітичний центр "ЛІГА", 2022</w:t>
            </w:r>
            <w:r>
              <w:rPr/>
              <w:br/>
            </w:r>
            <w:r>
              <w:rPr>
                <w:rFonts w:ascii="Arial" w:hAnsi="Arial"/>
                <w:b w:val="false"/>
                <w:i w:val="false"/>
                <w:color w:val="000000"/>
                <w:sz w:val="18"/>
              </w:rPr>
              <w:t>© ТОВ "ЛІГА ЗАКОН", 2022</w:t>
            </w:r>
          </w:p>
        </w:tc>
        <w:tc>
          <w:tcPr>
            <w:tcW w:w="1240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ind w:left="0" w:hanging="0"/>
              <w:jc w:val="left"/>
              <w:rPr/>
            </w:pPr>
            <w:r>
              <w:rPr/>
              <w:drawing>
                <wp:inline distT="0" distB="0" distL="0" distR="0">
                  <wp:extent cx="762000" cy="279400"/>
                  <wp:effectExtent l="0" t="0" r="0" b="0"/>
                  <wp:docPr id="2" name="Изображение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Изображение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279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pStyle w:val="Normal"/>
        <w:spacing w:before="0" w:after="200"/>
        <w:ind w:left="0" w:hanging="0"/>
        <w:jc w:val="left"/>
        <w:rPr/>
      </w:pPr>
      <w:r>
        <w:rPr/>
        <w:br/>
      </w:r>
    </w:p>
    <w:sectPr>
      <w:type w:val="nextPage"/>
      <w:pgSz w:w="11906" w:h="16838"/>
      <w:pgMar w:left="1440" w:right="1440" w:header="0" w:top="1440" w:footer="0" w:bottom="1440" w:gutter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5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basedOn w:val="DocDefaults"/>
    <w:qFormat/>
    <w:rsid w:val="004a3277"/>
    <w:pPr/>
    <w:rPr/>
  </w:style>
  <w:style w:type="paragraph" w:styleId="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Style10">
    <w:name w:val="Выделение"/>
    <w:basedOn w:val="DefaultParagraphFont"/>
    <w:uiPriority w:val="20"/>
    <w:qFormat/>
    <w:rsid w:val="00d1197d"/>
    <w:rPr>
      <w:i/>
      <w:iCs/>
    </w:rPr>
  </w:style>
  <w:style w:type="character" w:styleId="Style11">
    <w:name w:val="Интернет-ссылка"/>
    <w:basedOn w:val="DefaultParagraphFont"/>
    <w:uiPriority w:val="99"/>
    <w:unhideWhenUsed/>
    <w:rPr>
      <w:color w:val="0000FF" w:themeColor="hyperlink"/>
      <w:u w:val="single"/>
    </w:rPr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3">
    <w:name w:val="Body Text"/>
    <w:basedOn w:val="Normal"/>
    <w:pPr>
      <w:spacing w:lineRule="auto" w:line="276" w:before="0" w:after="140"/>
    </w:pPr>
    <w:rPr/>
  </w:style>
  <w:style w:type="paragraph" w:styleId="Style14">
    <w:name w:val="List"/>
    <w:basedOn w:val="Style13"/>
    <w:pPr/>
    <w:rPr>
      <w:rFonts w:cs="Ari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Arial"/>
    </w:rPr>
  </w:style>
  <w:style w:type="paragraph" w:styleId="Style17">
    <w:name w:val="Верхний и нижний колонтитулы"/>
    <w:basedOn w:val="Normal"/>
    <w:qFormat/>
    <w:pPr/>
    <w:rPr/>
  </w:style>
  <w:style w:type="paragraph" w:styleId="Style18">
    <w:name w:val="Header"/>
    <w:basedOn w:val="Normal"/>
    <w:link w:val="HeaderChar"/>
    <w:uiPriority w:val="99"/>
    <w:unhideWhenUsed/>
    <w:rsid w:val="00841cd9"/>
    <w:pPr>
      <w:tabs>
        <w:tab w:val="clear" w:pos="709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tyle19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Style20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Rule="auto" w:line="240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qFormat/>
    <w:pPr>
      <w:widowControl/>
      <w:bidi w:val="0"/>
      <w:spacing w:lineRule="auto" w:line="276" w:before="0" w:after="200"/>
      <w:jc w:val="left"/>
    </w:pPr>
    <w:rPr>
      <w:rFonts w:eastAsia="" w:cs="" w:asciiTheme="minorHAnsi" w:cstheme="minorBidi" w:eastAsiaTheme="minorHAnsi" w:hAnsiTheme="minorHAnsi"/>
      <w:color w:val="auto"/>
      <w:kern w:val="0"/>
      <w:sz w:val="22"/>
      <w:szCs w:val="22"/>
      <w:lang w:val="en-US" w:eastAsia="en-US" w:bidi="ar-SA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gif"/><Relationship Id="rId3" Type="http://schemas.openxmlformats.org/officeDocument/2006/relationships/image" Target="media/image2.png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LibreOffice/7.0.4.2$Windows_X86_64 LibreOffice_project/dcf040e67528d9187c66b2379df5ea4407429775</Application>
  <AppVersion>15.0000</AppVersion>
  <Pages>10</Pages>
  <Words>1115</Words>
  <Characters>7668</Characters>
  <CharactersWithSpaces>8622</CharactersWithSpaces>
  <Paragraphs>183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docx4j</dc:creator>
  <dc:description/>
  <dc:language>en-US</dc:language>
  <cp:lastModifiedBy>docx4j</cp:lastModifiedBy>
  <cp:revision>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