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49"/>
      </w:tblGrid>
      <w:tr w:rsidR="00AC7530" w:rsidRPr="00AC7530" w14:paraId="6C3478A6" w14:textId="77777777">
        <w:tc>
          <w:tcPr>
            <w:tcW w:w="12135" w:type="dxa"/>
            <w:tcBorders>
              <w:top w:val="single" w:sz="2" w:space="0" w:color="auto"/>
              <w:left w:val="single" w:sz="2" w:space="0" w:color="auto"/>
              <w:bottom w:val="single" w:sz="2" w:space="0" w:color="auto"/>
              <w:right w:val="single" w:sz="2" w:space="0" w:color="auto"/>
            </w:tcBorders>
            <w:hideMark/>
          </w:tcPr>
          <w:p w14:paraId="40D9523B" w14:textId="77777777" w:rsidR="00AC7530" w:rsidRPr="00AC7530" w:rsidRDefault="00AC7530" w:rsidP="00AC7530">
            <w:r w:rsidRPr="00AC7530">
              <w:rPr>
                <w:b/>
                <w:bCs/>
              </w:rPr>
              <w:t>НАЦІОНАЛЬНА КОМІСІЯ З ЦІННИХ ПАПЕРІВ ТА ФОНДОВОГО РИНКУ</w:t>
            </w:r>
          </w:p>
        </w:tc>
      </w:tr>
      <w:tr w:rsidR="00AC7530" w:rsidRPr="00AC7530" w14:paraId="4DA58ABC" w14:textId="77777777">
        <w:tc>
          <w:tcPr>
            <w:tcW w:w="12135" w:type="dxa"/>
            <w:tcBorders>
              <w:top w:val="single" w:sz="2" w:space="0" w:color="auto"/>
              <w:left w:val="single" w:sz="2" w:space="0" w:color="auto"/>
              <w:bottom w:val="single" w:sz="2" w:space="0" w:color="auto"/>
              <w:right w:val="single" w:sz="2" w:space="0" w:color="auto"/>
            </w:tcBorders>
            <w:hideMark/>
          </w:tcPr>
          <w:p w14:paraId="340562A1" w14:textId="77777777" w:rsidR="00AC7530" w:rsidRPr="00AC7530" w:rsidRDefault="00AC7530" w:rsidP="00AC7530">
            <w:r w:rsidRPr="00AC7530">
              <w:rPr>
                <w:b/>
                <w:bCs/>
              </w:rPr>
              <w:t>РІШЕННЯ</w:t>
            </w:r>
          </w:p>
        </w:tc>
      </w:tr>
      <w:tr w:rsidR="00AC7530" w:rsidRPr="00AC7530" w14:paraId="36CF14D3" w14:textId="77777777">
        <w:tc>
          <w:tcPr>
            <w:tcW w:w="12135" w:type="dxa"/>
            <w:tcBorders>
              <w:top w:val="single" w:sz="2" w:space="0" w:color="auto"/>
              <w:left w:val="single" w:sz="2" w:space="0" w:color="auto"/>
              <w:bottom w:val="single" w:sz="2" w:space="0" w:color="auto"/>
              <w:right w:val="single" w:sz="2" w:space="0" w:color="auto"/>
            </w:tcBorders>
            <w:hideMark/>
          </w:tcPr>
          <w:p w14:paraId="62C83CBD" w14:textId="77777777" w:rsidR="00AC7530" w:rsidRPr="00AC7530" w:rsidRDefault="00AC7530" w:rsidP="00AC7530">
            <w:r w:rsidRPr="00AC7530">
              <w:rPr>
                <w:b/>
                <w:bCs/>
              </w:rPr>
              <w:t>06.06.2025  № 36/21/2383/К03</w:t>
            </w:r>
          </w:p>
        </w:tc>
      </w:tr>
    </w:tbl>
    <w:p w14:paraId="415EA749" w14:textId="77777777" w:rsidR="00AC7530" w:rsidRPr="00AC7530" w:rsidRDefault="00AC7530" w:rsidP="00AC7530">
      <w:pPr>
        <w:rPr>
          <w:vanish/>
        </w:rPr>
      </w:pPr>
      <w:bookmarkStart w:id="0" w:name="n3"/>
      <w:bookmarkEnd w:id="0"/>
    </w:p>
    <w:tbl>
      <w:tblPr>
        <w:tblW w:w="5000" w:type="pct"/>
        <w:tblCellMar>
          <w:left w:w="0" w:type="dxa"/>
          <w:right w:w="0" w:type="dxa"/>
        </w:tblCellMar>
        <w:tblLook w:val="04A0" w:firstRow="1" w:lastRow="0" w:firstColumn="1" w:lastColumn="0" w:noHBand="0" w:noVBand="1"/>
      </w:tblPr>
      <w:tblGrid>
        <w:gridCol w:w="5609"/>
        <w:gridCol w:w="3740"/>
      </w:tblGrid>
      <w:tr w:rsidR="00AC7530" w:rsidRPr="00AC7530" w14:paraId="3EC6B0AE" w14:textId="77777777">
        <w:tc>
          <w:tcPr>
            <w:tcW w:w="3000" w:type="pct"/>
            <w:tcBorders>
              <w:top w:val="single" w:sz="2" w:space="0" w:color="auto"/>
              <w:left w:val="single" w:sz="2" w:space="0" w:color="auto"/>
              <w:bottom w:val="single" w:sz="2" w:space="0" w:color="auto"/>
              <w:right w:val="single" w:sz="2" w:space="0" w:color="auto"/>
            </w:tcBorders>
            <w:hideMark/>
          </w:tcPr>
          <w:p w14:paraId="6744840B" w14:textId="77777777" w:rsidR="00AC7530" w:rsidRPr="00AC7530" w:rsidRDefault="00AC7530" w:rsidP="00AC7530">
            <w:r w:rsidRPr="00AC7530">
              <w:rPr>
                <w:b/>
                <w:bCs/>
              </w:rPr>
              <w:br/>
            </w:r>
          </w:p>
        </w:tc>
        <w:tc>
          <w:tcPr>
            <w:tcW w:w="2000" w:type="pct"/>
            <w:tcBorders>
              <w:top w:val="single" w:sz="2" w:space="0" w:color="auto"/>
              <w:left w:val="single" w:sz="2" w:space="0" w:color="auto"/>
              <w:bottom w:val="single" w:sz="2" w:space="0" w:color="auto"/>
              <w:right w:val="single" w:sz="2" w:space="0" w:color="auto"/>
            </w:tcBorders>
            <w:hideMark/>
          </w:tcPr>
          <w:p w14:paraId="4A8A82BF" w14:textId="77777777" w:rsidR="00AC7530" w:rsidRPr="00AC7530" w:rsidRDefault="00AC7530" w:rsidP="00AC7530">
            <w:r w:rsidRPr="00AC7530">
              <w:rPr>
                <w:b/>
                <w:bCs/>
              </w:rPr>
              <w:t>Зареєстровано в Міністерстві </w:t>
            </w:r>
            <w:r w:rsidRPr="00AC7530">
              <w:br/>
            </w:r>
            <w:r w:rsidRPr="00AC7530">
              <w:rPr>
                <w:b/>
                <w:bCs/>
              </w:rPr>
              <w:t>юстиції України </w:t>
            </w:r>
            <w:r w:rsidRPr="00AC7530">
              <w:br/>
            </w:r>
            <w:r w:rsidRPr="00AC7530">
              <w:rPr>
                <w:b/>
                <w:bCs/>
              </w:rPr>
              <w:t>20 червня 2025 року </w:t>
            </w:r>
            <w:r w:rsidRPr="00AC7530">
              <w:br/>
            </w:r>
            <w:r w:rsidRPr="00AC7530">
              <w:rPr>
                <w:b/>
                <w:bCs/>
              </w:rPr>
              <w:t>за № 958/44364</w:t>
            </w:r>
          </w:p>
        </w:tc>
      </w:tr>
    </w:tbl>
    <w:p w14:paraId="6774CE23" w14:textId="77777777" w:rsidR="00AC7530" w:rsidRPr="00AC7530" w:rsidRDefault="00AC7530" w:rsidP="00AC7530">
      <w:bookmarkStart w:id="1" w:name="n4"/>
      <w:bookmarkEnd w:id="1"/>
      <w:r w:rsidRPr="00AC7530">
        <w:rPr>
          <w:b/>
          <w:bCs/>
        </w:rPr>
        <w:t>Про затвердження Вимог до розкриття показників фінансової звітності у форматі XBRL для суб’єктів звітування, що є учасниками ринків капіталу та професійними учасниками організованих товарних ринків</w:t>
      </w:r>
    </w:p>
    <w:p w14:paraId="07150722" w14:textId="77777777" w:rsidR="00AC7530" w:rsidRPr="00AC7530" w:rsidRDefault="00AC7530" w:rsidP="00AC7530">
      <w:bookmarkStart w:id="2" w:name="n113"/>
      <w:bookmarkEnd w:id="2"/>
      <w:r w:rsidRPr="00AC7530">
        <w:t>{Із змінами, внесеними згідно з Рішенням Національної комісії</w:t>
      </w:r>
      <w:r w:rsidRPr="00AC7530">
        <w:br/>
        <w:t>з цінних паперів та фондового ринку</w:t>
      </w:r>
      <w:r w:rsidRPr="00AC7530">
        <w:br/>
      </w:r>
      <w:hyperlink r:id="rId5" w:anchor="n2" w:tgtFrame="_blank" w:history="1">
        <w:r w:rsidRPr="00AC7530">
          <w:rPr>
            <w:rStyle w:val="ae"/>
          </w:rPr>
          <w:t>№ 36/21/4172/К03 від 16.04.2026</w:t>
        </w:r>
      </w:hyperlink>
      <w:r w:rsidRPr="00AC7530">
        <w:t>}</w:t>
      </w:r>
    </w:p>
    <w:p w14:paraId="4CBF64D7" w14:textId="77777777" w:rsidR="00AC7530" w:rsidRPr="00AC7530" w:rsidRDefault="00AC7530" w:rsidP="00AC7530">
      <w:bookmarkStart w:id="3" w:name="n5"/>
      <w:bookmarkEnd w:id="3"/>
      <w:r w:rsidRPr="00AC7530">
        <w:t>Відповідно до </w:t>
      </w:r>
      <w:hyperlink r:id="rId6" w:anchor="n1002" w:tgtFrame="_blank" w:history="1">
        <w:r w:rsidRPr="00AC7530">
          <w:rPr>
            <w:rStyle w:val="ae"/>
          </w:rPr>
          <w:t>пункту 36</w:t>
        </w:r>
      </w:hyperlink>
      <w:r w:rsidRPr="00AC7530">
        <w:t> частини першої статті 7 Закону України «Про державне регулювання ринків капіталу та організованих товарних ринків», </w:t>
      </w:r>
      <w:hyperlink r:id="rId7" w:anchor="n43" w:tgtFrame="_blank" w:history="1">
        <w:r w:rsidRPr="00AC7530">
          <w:rPr>
            <w:rStyle w:val="ae"/>
          </w:rPr>
          <w:t>абзацу третього</w:t>
        </w:r>
      </w:hyperlink>
      <w:r w:rsidRPr="00AC7530">
        <w:t> пункту 7 та </w:t>
      </w:r>
      <w:hyperlink r:id="rId8" w:anchor="n96" w:tgtFrame="_blank" w:history="1">
        <w:r w:rsidRPr="00AC7530">
          <w:rPr>
            <w:rStyle w:val="ae"/>
          </w:rPr>
          <w:t>абзацу третього</w:t>
        </w:r>
      </w:hyperlink>
      <w:r w:rsidRPr="00AC7530">
        <w:t> пункту 17 Порядку функціонування центру збору фінансової звітності, затвердженого постановою Кабінету Міністрів України від 11 серпня 2023 року № 845, Національна комісія з цінних паперів та фондового ринку  </w:t>
      </w:r>
      <w:r w:rsidRPr="00AC7530">
        <w:rPr>
          <w:b/>
          <w:bCs/>
        </w:rPr>
        <w:t>ВИРІШИЛА</w:t>
      </w:r>
      <w:r w:rsidRPr="00AC7530">
        <w:t>:</w:t>
      </w:r>
    </w:p>
    <w:p w14:paraId="658C5C80" w14:textId="77777777" w:rsidR="00AC7530" w:rsidRPr="00AC7530" w:rsidRDefault="00AC7530" w:rsidP="00AC7530">
      <w:bookmarkStart w:id="4" w:name="n6"/>
      <w:bookmarkEnd w:id="4"/>
      <w:r w:rsidRPr="00AC7530">
        <w:t>1. Затвердити </w:t>
      </w:r>
      <w:hyperlink r:id="rId9" w:anchor="n15" w:history="1">
        <w:r w:rsidRPr="00AC7530">
          <w:rPr>
            <w:rStyle w:val="ae"/>
          </w:rPr>
          <w:t>Вимоги до розкриття показників фінансової звітності у форматі XBRL для суб’єктів звітування, що є учасниками ринків капіталу та професійними учасниками організованих товарних ринків</w:t>
        </w:r>
      </w:hyperlink>
      <w:r w:rsidRPr="00AC7530">
        <w:t>, що додаються.</w:t>
      </w:r>
    </w:p>
    <w:p w14:paraId="54C596E1" w14:textId="77777777" w:rsidR="00AC7530" w:rsidRPr="00AC7530" w:rsidRDefault="00AC7530" w:rsidP="00AC7530">
      <w:bookmarkStart w:id="5" w:name="n7"/>
      <w:bookmarkEnd w:id="5"/>
      <w:r w:rsidRPr="00AC7530">
        <w:t>2. Управлінню з питань функціонування центру збору фінансової звітності у форматі XBRL забезпечити подання цього рішення у встановленому законодавством порядку на державну реєстрацію до Міністерства юстиції України.</w:t>
      </w:r>
    </w:p>
    <w:p w14:paraId="3B3A23A9" w14:textId="77777777" w:rsidR="00AC7530" w:rsidRPr="00AC7530" w:rsidRDefault="00AC7530" w:rsidP="00AC7530">
      <w:bookmarkStart w:id="6" w:name="n8"/>
      <w:bookmarkEnd w:id="6"/>
      <w:r w:rsidRPr="00AC7530">
        <w:t>3. Управлінню адміністративної діяльності забезпечити розміщення цього рішення на вебсайті Національної комісії з цінних паперів та фондового ринку.</w:t>
      </w:r>
    </w:p>
    <w:p w14:paraId="4076CFC7" w14:textId="77777777" w:rsidR="00AC7530" w:rsidRPr="00AC7530" w:rsidRDefault="00AC7530" w:rsidP="00AC7530">
      <w:bookmarkStart w:id="7" w:name="n9"/>
      <w:bookmarkEnd w:id="7"/>
      <w:r w:rsidRPr="00AC7530">
        <w:t>4. Департаменту правового забезпечення та внутрішнього комплаєнс контролю, після отримання повідомлення щодо державної реєстрації у Міністерстві юстиції України, забезпечити оприлюднення цього рішення на офіційному вебсайті Національної комісії з цінних паперів та фондового ринку.</w:t>
      </w:r>
    </w:p>
    <w:p w14:paraId="290DE6C7" w14:textId="77777777" w:rsidR="00AC7530" w:rsidRPr="00AC7530" w:rsidRDefault="00AC7530" w:rsidP="00AC7530">
      <w:bookmarkStart w:id="8" w:name="n10"/>
      <w:bookmarkEnd w:id="8"/>
      <w:r w:rsidRPr="00AC7530">
        <w:t>5. Це рішення набирає чинності з дня, наступного за днем його офіційного опублікування на офіційному вебсайті Національної комісії з цінних паперів та фондового ринку.</w:t>
      </w:r>
    </w:p>
    <w:p w14:paraId="155B1FD6" w14:textId="77777777" w:rsidR="00AC7530" w:rsidRPr="00AC7530" w:rsidRDefault="00AC7530" w:rsidP="00AC7530">
      <w:bookmarkStart w:id="9" w:name="n11"/>
      <w:bookmarkEnd w:id="9"/>
      <w:r w:rsidRPr="00AC7530">
        <w:t>6. Контроль за виконанням цього рішення покласти на члена Національної комісії з цінних паперів та фондового ринку Ю. Шаповала.</w:t>
      </w:r>
    </w:p>
    <w:tbl>
      <w:tblPr>
        <w:tblW w:w="5000" w:type="pct"/>
        <w:tblCellMar>
          <w:left w:w="0" w:type="dxa"/>
          <w:right w:w="0" w:type="dxa"/>
        </w:tblCellMar>
        <w:tblLook w:val="04A0" w:firstRow="1" w:lastRow="0" w:firstColumn="1" w:lastColumn="0" w:noHBand="0" w:noVBand="1"/>
      </w:tblPr>
      <w:tblGrid>
        <w:gridCol w:w="5142"/>
        <w:gridCol w:w="4207"/>
      </w:tblGrid>
      <w:tr w:rsidR="00AC7530" w:rsidRPr="00AC7530" w14:paraId="02C3F719" w14:textId="77777777">
        <w:trPr>
          <w:trHeight w:val="420"/>
        </w:trPr>
        <w:tc>
          <w:tcPr>
            <w:tcW w:w="2750" w:type="pct"/>
            <w:tcBorders>
              <w:top w:val="single" w:sz="2" w:space="0" w:color="auto"/>
              <w:left w:val="single" w:sz="2" w:space="0" w:color="auto"/>
              <w:bottom w:val="single" w:sz="2" w:space="0" w:color="auto"/>
              <w:right w:val="single" w:sz="2" w:space="0" w:color="auto"/>
            </w:tcBorders>
            <w:hideMark/>
          </w:tcPr>
          <w:p w14:paraId="63E1096A" w14:textId="77777777" w:rsidR="00AC7530" w:rsidRPr="00AC7530" w:rsidRDefault="00AC7530" w:rsidP="00AC7530">
            <w:bookmarkStart w:id="10" w:name="n12"/>
            <w:bookmarkEnd w:id="10"/>
            <w:r w:rsidRPr="00AC7530">
              <w:rPr>
                <w:b/>
                <w:bCs/>
              </w:rPr>
              <w:t>Голова Комісії</w:t>
            </w:r>
          </w:p>
        </w:tc>
        <w:tc>
          <w:tcPr>
            <w:tcW w:w="2250" w:type="pct"/>
            <w:tcBorders>
              <w:top w:val="single" w:sz="2" w:space="0" w:color="auto"/>
              <w:left w:val="single" w:sz="2" w:space="0" w:color="auto"/>
              <w:bottom w:val="single" w:sz="2" w:space="0" w:color="auto"/>
              <w:right w:val="single" w:sz="2" w:space="0" w:color="auto"/>
            </w:tcBorders>
            <w:hideMark/>
          </w:tcPr>
          <w:p w14:paraId="4B331BF2" w14:textId="77777777" w:rsidR="00AC7530" w:rsidRPr="00AC7530" w:rsidRDefault="00AC7530" w:rsidP="00AC7530">
            <w:r w:rsidRPr="00AC7530">
              <w:rPr>
                <w:b/>
                <w:bCs/>
              </w:rPr>
              <w:t>Руслан МАГОМЕДОВ</w:t>
            </w:r>
          </w:p>
        </w:tc>
      </w:tr>
    </w:tbl>
    <w:p w14:paraId="32EB27F0" w14:textId="77777777" w:rsidR="00AC7530" w:rsidRPr="00AC7530" w:rsidRDefault="00AC7530" w:rsidP="00AC7530">
      <w:pPr>
        <w:rPr>
          <w:vanish/>
        </w:rPr>
      </w:pPr>
      <w:bookmarkStart w:id="11" w:name="n13"/>
      <w:bookmarkEnd w:id="11"/>
    </w:p>
    <w:tbl>
      <w:tblPr>
        <w:tblW w:w="5000" w:type="pct"/>
        <w:tblCellMar>
          <w:left w:w="0" w:type="dxa"/>
          <w:right w:w="0" w:type="dxa"/>
        </w:tblCellMar>
        <w:tblLook w:val="04A0" w:firstRow="1" w:lastRow="0" w:firstColumn="1" w:lastColumn="0" w:noHBand="0" w:noVBand="1"/>
      </w:tblPr>
      <w:tblGrid>
        <w:gridCol w:w="4949"/>
        <w:gridCol w:w="4400"/>
      </w:tblGrid>
      <w:tr w:rsidR="00AC7530" w:rsidRPr="00AC7530" w14:paraId="5D50D07C" w14:textId="77777777">
        <w:tc>
          <w:tcPr>
            <w:tcW w:w="2250" w:type="pct"/>
            <w:tcBorders>
              <w:top w:val="single" w:sz="2" w:space="0" w:color="auto"/>
              <w:left w:val="single" w:sz="2" w:space="0" w:color="auto"/>
              <w:bottom w:val="single" w:sz="2" w:space="0" w:color="auto"/>
              <w:right w:val="single" w:sz="2" w:space="0" w:color="auto"/>
            </w:tcBorders>
            <w:hideMark/>
          </w:tcPr>
          <w:p w14:paraId="02680254" w14:textId="77777777" w:rsidR="00AC7530" w:rsidRPr="00AC7530" w:rsidRDefault="00AC7530" w:rsidP="00AC7530"/>
        </w:tc>
        <w:tc>
          <w:tcPr>
            <w:tcW w:w="2000" w:type="pct"/>
            <w:tcBorders>
              <w:top w:val="single" w:sz="2" w:space="0" w:color="auto"/>
              <w:left w:val="single" w:sz="2" w:space="0" w:color="auto"/>
              <w:bottom w:val="single" w:sz="2" w:space="0" w:color="auto"/>
              <w:right w:val="single" w:sz="2" w:space="0" w:color="auto"/>
            </w:tcBorders>
            <w:hideMark/>
          </w:tcPr>
          <w:p w14:paraId="6B2DF65A" w14:textId="77777777" w:rsidR="00AC7530" w:rsidRPr="00AC7530" w:rsidRDefault="00AC7530" w:rsidP="00AC7530">
            <w:r w:rsidRPr="00AC7530">
              <w:t>Протокол засідання Комісії</w:t>
            </w:r>
            <w:r w:rsidRPr="00AC7530">
              <w:br/>
              <w:t>від  06.06.2025 року № 64</w:t>
            </w:r>
          </w:p>
        </w:tc>
      </w:tr>
    </w:tbl>
    <w:p w14:paraId="005B0449" w14:textId="77777777" w:rsidR="00AC7530" w:rsidRPr="00AC7530" w:rsidRDefault="00000000" w:rsidP="00AC7530">
      <w:r>
        <w:pict w14:anchorId="0B540A3D">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09"/>
        <w:gridCol w:w="3740"/>
      </w:tblGrid>
      <w:tr w:rsidR="00AC7530" w:rsidRPr="00AC7530" w14:paraId="15A52B06" w14:textId="77777777">
        <w:tc>
          <w:tcPr>
            <w:tcW w:w="3000" w:type="pct"/>
            <w:tcBorders>
              <w:top w:val="single" w:sz="2" w:space="0" w:color="auto"/>
              <w:left w:val="single" w:sz="2" w:space="0" w:color="auto"/>
              <w:bottom w:val="single" w:sz="2" w:space="0" w:color="auto"/>
              <w:right w:val="single" w:sz="2" w:space="0" w:color="auto"/>
            </w:tcBorders>
            <w:hideMark/>
          </w:tcPr>
          <w:p w14:paraId="3EC012D3" w14:textId="77777777" w:rsidR="00AC7530" w:rsidRPr="00AC7530" w:rsidRDefault="00AC7530" w:rsidP="00AC7530">
            <w:bookmarkStart w:id="12" w:name="n110"/>
            <w:bookmarkStart w:id="13" w:name="n14"/>
            <w:bookmarkEnd w:id="12"/>
            <w:bookmarkEnd w:id="13"/>
            <w:r w:rsidRPr="00AC7530">
              <w:rPr>
                <w:b/>
                <w:bCs/>
              </w:rPr>
              <w:br/>
            </w:r>
          </w:p>
        </w:tc>
        <w:tc>
          <w:tcPr>
            <w:tcW w:w="2000" w:type="pct"/>
            <w:tcBorders>
              <w:top w:val="single" w:sz="2" w:space="0" w:color="auto"/>
              <w:left w:val="single" w:sz="2" w:space="0" w:color="auto"/>
              <w:bottom w:val="single" w:sz="2" w:space="0" w:color="auto"/>
              <w:right w:val="single" w:sz="2" w:space="0" w:color="auto"/>
            </w:tcBorders>
            <w:hideMark/>
          </w:tcPr>
          <w:p w14:paraId="699F0C3B" w14:textId="77777777" w:rsidR="00AC7530" w:rsidRPr="00AC7530" w:rsidRDefault="00AC7530" w:rsidP="00AC7530">
            <w:r w:rsidRPr="00AC7530">
              <w:rPr>
                <w:b/>
                <w:bCs/>
              </w:rPr>
              <w:t>ЗАТВЕРДЖЕНО</w:t>
            </w:r>
            <w:r w:rsidRPr="00AC7530">
              <w:br/>
            </w:r>
            <w:r w:rsidRPr="00AC7530">
              <w:rPr>
                <w:b/>
                <w:bCs/>
              </w:rPr>
              <w:t>Рішення Національної комісії</w:t>
            </w:r>
            <w:r w:rsidRPr="00AC7530">
              <w:br/>
            </w:r>
            <w:r w:rsidRPr="00AC7530">
              <w:rPr>
                <w:b/>
                <w:bCs/>
              </w:rPr>
              <w:t>з цінних паперів</w:t>
            </w:r>
            <w:r w:rsidRPr="00AC7530">
              <w:br/>
            </w:r>
            <w:r w:rsidRPr="00AC7530">
              <w:rPr>
                <w:b/>
                <w:bCs/>
              </w:rPr>
              <w:lastRenderedPageBreak/>
              <w:t>та фондового ринку</w:t>
            </w:r>
            <w:r w:rsidRPr="00AC7530">
              <w:br/>
            </w:r>
            <w:r w:rsidRPr="00AC7530">
              <w:rPr>
                <w:b/>
                <w:bCs/>
              </w:rPr>
              <w:t>06 червня 2025 року</w:t>
            </w:r>
            <w:r w:rsidRPr="00AC7530">
              <w:br/>
            </w:r>
            <w:r w:rsidRPr="00AC7530">
              <w:rPr>
                <w:b/>
                <w:bCs/>
              </w:rPr>
              <w:t>№ 36/21/2383/К03</w:t>
            </w:r>
          </w:p>
        </w:tc>
      </w:tr>
    </w:tbl>
    <w:p w14:paraId="7C7034C1" w14:textId="77777777" w:rsidR="00AC7530" w:rsidRPr="00AC7530" w:rsidRDefault="00AC7530" w:rsidP="00AC7530">
      <w:pPr>
        <w:rPr>
          <w:vanish/>
        </w:rPr>
      </w:pPr>
      <w:bookmarkStart w:id="14" w:name="n112"/>
      <w:bookmarkEnd w:id="14"/>
    </w:p>
    <w:tbl>
      <w:tblPr>
        <w:tblW w:w="5000" w:type="pct"/>
        <w:tblCellMar>
          <w:left w:w="0" w:type="dxa"/>
          <w:right w:w="0" w:type="dxa"/>
        </w:tblCellMar>
        <w:tblLook w:val="04A0" w:firstRow="1" w:lastRow="0" w:firstColumn="1" w:lastColumn="0" w:noHBand="0" w:noVBand="1"/>
      </w:tblPr>
      <w:tblGrid>
        <w:gridCol w:w="5609"/>
        <w:gridCol w:w="3740"/>
      </w:tblGrid>
      <w:tr w:rsidR="00AC7530" w:rsidRPr="00AC7530" w14:paraId="579F0C27" w14:textId="77777777">
        <w:tc>
          <w:tcPr>
            <w:tcW w:w="3000" w:type="pct"/>
            <w:tcBorders>
              <w:top w:val="single" w:sz="2" w:space="0" w:color="auto"/>
              <w:left w:val="single" w:sz="2" w:space="0" w:color="auto"/>
              <w:bottom w:val="single" w:sz="2" w:space="0" w:color="auto"/>
              <w:right w:val="single" w:sz="2" w:space="0" w:color="auto"/>
            </w:tcBorders>
            <w:hideMark/>
          </w:tcPr>
          <w:p w14:paraId="77A4DD6D" w14:textId="77777777" w:rsidR="00AC7530" w:rsidRPr="00AC7530" w:rsidRDefault="00AC7530" w:rsidP="00AC7530">
            <w:r w:rsidRPr="00AC7530">
              <w:rPr>
                <w:b/>
                <w:bCs/>
              </w:rPr>
              <w:br/>
            </w:r>
          </w:p>
        </w:tc>
        <w:tc>
          <w:tcPr>
            <w:tcW w:w="2000" w:type="pct"/>
            <w:tcBorders>
              <w:top w:val="single" w:sz="2" w:space="0" w:color="auto"/>
              <w:left w:val="single" w:sz="2" w:space="0" w:color="auto"/>
              <w:bottom w:val="single" w:sz="2" w:space="0" w:color="auto"/>
              <w:right w:val="single" w:sz="2" w:space="0" w:color="auto"/>
            </w:tcBorders>
            <w:hideMark/>
          </w:tcPr>
          <w:p w14:paraId="0ACF8E9E" w14:textId="77777777" w:rsidR="00AC7530" w:rsidRPr="00AC7530" w:rsidRDefault="00AC7530" w:rsidP="00AC7530">
            <w:r w:rsidRPr="00AC7530">
              <w:rPr>
                <w:b/>
                <w:bCs/>
              </w:rPr>
              <w:t>Зареєстровано в Міністерстві </w:t>
            </w:r>
            <w:r w:rsidRPr="00AC7530">
              <w:br/>
            </w:r>
            <w:r w:rsidRPr="00AC7530">
              <w:rPr>
                <w:b/>
                <w:bCs/>
              </w:rPr>
              <w:t>юстиції України </w:t>
            </w:r>
            <w:r w:rsidRPr="00AC7530">
              <w:br/>
            </w:r>
            <w:r w:rsidRPr="00AC7530">
              <w:rPr>
                <w:b/>
                <w:bCs/>
              </w:rPr>
              <w:t>20 червня 2025 року </w:t>
            </w:r>
            <w:r w:rsidRPr="00AC7530">
              <w:br/>
            </w:r>
            <w:r w:rsidRPr="00AC7530">
              <w:rPr>
                <w:b/>
                <w:bCs/>
              </w:rPr>
              <w:t>за № 958/44364</w:t>
            </w:r>
          </w:p>
        </w:tc>
      </w:tr>
    </w:tbl>
    <w:p w14:paraId="0BA21C52" w14:textId="77777777" w:rsidR="00AC7530" w:rsidRPr="00AC7530" w:rsidRDefault="00AC7530" w:rsidP="00AC7530">
      <w:bookmarkStart w:id="15" w:name="n15"/>
      <w:bookmarkEnd w:id="15"/>
      <w:r w:rsidRPr="00AC7530">
        <w:rPr>
          <w:b/>
          <w:bCs/>
        </w:rPr>
        <w:t>Вимоги</w:t>
      </w:r>
      <w:r w:rsidRPr="00AC7530">
        <w:br/>
      </w:r>
      <w:r w:rsidRPr="00AC7530">
        <w:rPr>
          <w:b/>
          <w:bCs/>
        </w:rPr>
        <w:t>до розкриття показників фінансової звітності у форматі XBRL для суб’єктів звітування, що є учасниками ринків капіталу та професійними учасниками організованих товарних ринків</w:t>
      </w:r>
    </w:p>
    <w:p w14:paraId="65253BB2" w14:textId="77777777" w:rsidR="00AC7530" w:rsidRPr="00AC7530" w:rsidRDefault="00AC7530" w:rsidP="00AC7530">
      <w:bookmarkStart w:id="16" w:name="n16"/>
      <w:bookmarkEnd w:id="16"/>
      <w:r w:rsidRPr="00AC7530">
        <w:rPr>
          <w:b/>
          <w:bCs/>
        </w:rPr>
        <w:t>I. Загальні положення</w:t>
      </w:r>
    </w:p>
    <w:p w14:paraId="6070078F" w14:textId="77777777" w:rsidR="00AC7530" w:rsidRPr="00AC7530" w:rsidRDefault="00AC7530" w:rsidP="00AC7530">
      <w:bookmarkStart w:id="17" w:name="n17"/>
      <w:bookmarkEnd w:id="17"/>
      <w:r w:rsidRPr="00AC7530">
        <w:t>1. Ці Вимоги встановлюють вимоги до розкриття окремих показників фінансової звітності, складеної на основі таксономії фінансової звітності за міжнародними стандартами фінансової звітності в єдиному електронному форматі (далі - фінансова звітність у форматі XBRL або фінансова звітність), для суб’єктів звітування, що є учасниками ринків капіталу та професійними учасниками організованих товарних ринків, до центру збору фінансової звітності «Система фінансової звітності» (далі - центр збору фінансової звітності або ЦЗФЗ), операційне управління яким здійснює Національна комісія з цінних паперів та фондового ринку (далі - НКЦПФР), в тому числі процедури подання фінансової звітності у форматі XBRL до ЦЗФЗ.</w:t>
      </w:r>
    </w:p>
    <w:p w14:paraId="44DEE85E" w14:textId="77777777" w:rsidR="00AC7530" w:rsidRPr="00AC7530" w:rsidRDefault="00AC7530" w:rsidP="00AC7530">
      <w:bookmarkStart w:id="18" w:name="n114"/>
      <w:bookmarkEnd w:id="18"/>
      <w:r w:rsidRPr="00AC7530">
        <w:rPr>
          <w:i/>
          <w:iCs/>
        </w:rPr>
        <w:t>{Пункт 1 розділу I в редакції Рішення Національної комісії з цінних паперів та фондового ринку </w:t>
      </w:r>
      <w:hyperlink r:id="rId10" w:anchor="n19" w:tgtFrame="_blank" w:history="1">
        <w:r w:rsidRPr="00AC7530">
          <w:rPr>
            <w:rStyle w:val="ae"/>
            <w:i/>
            <w:iCs/>
          </w:rPr>
          <w:t>№ 36/21/4172/К03 від 16.04.2026</w:t>
        </w:r>
      </w:hyperlink>
      <w:r w:rsidRPr="00AC7530">
        <w:rPr>
          <w:i/>
          <w:iCs/>
        </w:rPr>
        <w:t>}</w:t>
      </w:r>
    </w:p>
    <w:p w14:paraId="36853BCF" w14:textId="77777777" w:rsidR="00AC7530" w:rsidRPr="00AC7530" w:rsidRDefault="00AC7530" w:rsidP="00AC7530">
      <w:bookmarkStart w:id="19" w:name="n18"/>
      <w:bookmarkEnd w:id="19"/>
      <w:r w:rsidRPr="00AC7530">
        <w:t>2. Дія цих Вимог поширюється на таких суб’єктів звітування, які застосовують міжнародні стандарти для складання фінансової звітності та консолідованої фінансової звітності та державне регулювання і нагляд за діяльністю яких віднесено до НКЦПФР (далі - суб’єкти звітування):</w:t>
      </w:r>
    </w:p>
    <w:p w14:paraId="30544FFD" w14:textId="77777777" w:rsidR="00AC7530" w:rsidRPr="00AC7530" w:rsidRDefault="00AC7530" w:rsidP="00AC7530">
      <w:bookmarkStart w:id="20" w:name="n19"/>
      <w:bookmarkEnd w:id="20"/>
      <w:r w:rsidRPr="00AC7530">
        <w:t>1) емітентів цінних паперів;</w:t>
      </w:r>
    </w:p>
    <w:p w14:paraId="2D8D63F2" w14:textId="77777777" w:rsidR="00AC7530" w:rsidRPr="00AC7530" w:rsidRDefault="00AC7530" w:rsidP="00AC7530">
      <w:bookmarkStart w:id="21" w:name="n20"/>
      <w:bookmarkEnd w:id="21"/>
      <w:r w:rsidRPr="00AC7530">
        <w:t>2) осіб, що надають забезпечення за цінними паперами;</w:t>
      </w:r>
    </w:p>
    <w:p w14:paraId="243FF5E2" w14:textId="77777777" w:rsidR="00AC7530" w:rsidRPr="00AC7530" w:rsidRDefault="00AC7530" w:rsidP="00AC7530">
      <w:bookmarkStart w:id="22" w:name="n21"/>
      <w:bookmarkEnd w:id="22"/>
      <w:r w:rsidRPr="00AC7530">
        <w:t>3) радників з корпоративних прав;</w:t>
      </w:r>
    </w:p>
    <w:p w14:paraId="44C8B711" w14:textId="77777777" w:rsidR="00AC7530" w:rsidRPr="00AC7530" w:rsidRDefault="00AC7530" w:rsidP="00AC7530">
      <w:bookmarkStart w:id="23" w:name="n22"/>
      <w:bookmarkEnd w:id="23"/>
      <w:r w:rsidRPr="00AC7530">
        <w:t>4) професійних учасників ринків капіталу та організованих товарних ринків.</w:t>
      </w:r>
    </w:p>
    <w:p w14:paraId="6323EA74" w14:textId="77777777" w:rsidR="00AC7530" w:rsidRPr="00AC7530" w:rsidRDefault="00AC7530" w:rsidP="00AC7530">
      <w:bookmarkStart w:id="24" w:name="n23"/>
      <w:bookmarkEnd w:id="24"/>
      <w:r w:rsidRPr="00AC7530">
        <w:t>Дія цих Вимог не поширюється на суб’єктів звітування, державне регулювання та нагляд за діяльністю яких здійснює Національний банк України.</w:t>
      </w:r>
    </w:p>
    <w:p w14:paraId="73E657D4" w14:textId="77777777" w:rsidR="00AC7530" w:rsidRPr="00AC7530" w:rsidRDefault="00AC7530" w:rsidP="00AC7530">
      <w:bookmarkStart w:id="25" w:name="n24"/>
      <w:bookmarkEnd w:id="25"/>
      <w:r w:rsidRPr="00AC7530">
        <w:t>3. У цих Вимогах терміни вживаються у таких значеннях:</w:t>
      </w:r>
    </w:p>
    <w:p w14:paraId="66C44B3C" w14:textId="77777777" w:rsidR="00AC7530" w:rsidRPr="00AC7530" w:rsidRDefault="00AC7530" w:rsidP="00AC7530">
      <w:bookmarkStart w:id="26" w:name="n25"/>
      <w:bookmarkEnd w:id="26"/>
      <w:r w:rsidRPr="00AC7530">
        <w:t>вебсайт https://frs.gov.ua - інтерфейс обміну інформацією між центром збору фінансової звітності, суб’єктами звітування та зовнішніми програмними застосуваннями, що використовуються суб’єктами звітування для подання даних до зазначеного центру, в тому числі фінансової звітності у форматі XBRL;</w:t>
      </w:r>
    </w:p>
    <w:p w14:paraId="13873A4E" w14:textId="77777777" w:rsidR="00AC7530" w:rsidRPr="00AC7530" w:rsidRDefault="00AC7530" w:rsidP="00AC7530">
      <w:bookmarkStart w:id="27" w:name="n26"/>
      <w:bookmarkEnd w:id="27"/>
      <w:r w:rsidRPr="00AC7530">
        <w:t>користувач суб’єкта звітування (користувач порталу для суб’єктів звітування) - керівник суб’єкта звітування або фізична особа, уповноважена ним для взаємодії з центром збору фінансової звітності на вебсайті https://frs.gov.ua;</w:t>
      </w:r>
    </w:p>
    <w:p w14:paraId="45D47F54" w14:textId="77777777" w:rsidR="00AC7530" w:rsidRPr="00AC7530" w:rsidRDefault="00AC7530" w:rsidP="00AC7530">
      <w:bookmarkStart w:id="28" w:name="n27"/>
      <w:bookmarkEnd w:id="28"/>
      <w:r w:rsidRPr="00AC7530">
        <w:t>корпоративний профіль - інформація про суб’єкта звітування, зазначена у звіті про корпоративний профіль, що подається до центру забору фінансової звітності в розділі вебсайту https://frs.gov.ua «Портал СФЗ для суб’єктів звітування»;</w:t>
      </w:r>
    </w:p>
    <w:p w14:paraId="04258DD0" w14:textId="77777777" w:rsidR="00AC7530" w:rsidRPr="00AC7530" w:rsidRDefault="00AC7530" w:rsidP="00AC7530">
      <w:bookmarkStart w:id="29" w:name="n28"/>
      <w:bookmarkEnd w:id="29"/>
      <w:r w:rsidRPr="00AC7530">
        <w:lastRenderedPageBreak/>
        <w:t>портал для суб’єктів звітування - розділ вебсайту https://frs.gov.ua «Портал СФЗ для суб’єктів звітування», що є середовищем надання автоматизованих сервісів для забезпечення подання фінансової звітності до центру збору фінансової звітності;</w:t>
      </w:r>
    </w:p>
    <w:p w14:paraId="2FBE254D" w14:textId="77777777" w:rsidR="00AC7530" w:rsidRPr="00AC7530" w:rsidRDefault="00AC7530" w:rsidP="00AC7530">
      <w:bookmarkStart w:id="30" w:name="n29"/>
      <w:bookmarkEnd w:id="30"/>
      <w:r w:rsidRPr="00AC7530">
        <w:t>портал розкриття фінансової звітності - розділ вебсайту https://frs.gov.ua, що є середовищем відкритого доступу до фінансової звітності, поданої до центру збору фінансової звітності;</w:t>
      </w:r>
    </w:p>
    <w:p w14:paraId="2CA9D26A" w14:textId="77777777" w:rsidR="00AC7530" w:rsidRPr="00AC7530" w:rsidRDefault="00AC7530" w:rsidP="00AC7530">
      <w:bookmarkStart w:id="31" w:name="n30"/>
      <w:bookmarkEnd w:id="31"/>
      <w:r w:rsidRPr="00AC7530">
        <w:t>таксономія фінансової звітності у форматі XBRL - електронний файл, що визначає порядок відображення даних фінансової звітності з використанням принципів розширюваної мови ділової звітності (XBRL) на підставі таксономії фінансової звітності за міжнародними стандартами, яка оприлюднена державною мовою на офіційному вебсайті Міністерства фінансів України;</w:t>
      </w:r>
    </w:p>
    <w:p w14:paraId="09FA0560" w14:textId="77777777" w:rsidR="00AC7530" w:rsidRPr="00AC7530" w:rsidRDefault="00AC7530" w:rsidP="00AC7530">
      <w:bookmarkStart w:id="32" w:name="n31"/>
      <w:bookmarkEnd w:id="32"/>
      <w:r w:rsidRPr="00AC7530">
        <w:t>центр збору фінансової звітності - сукупність апаратно-технічних і програмних засобів, що забезпечують створення, подання, проведення перевірки, оприлюднення, зберігання фінансової звітності у форматі XBRL на основі таксономії фінансової звітності у форматі XBRL. Елементи апаратного забезпечення та права на використання програмного забезпечення зазначеного центру належать державі та перебувають в операційному управлінні НКЦПФР;</w:t>
      </w:r>
    </w:p>
    <w:p w14:paraId="57ACF7AF" w14:textId="77777777" w:rsidR="00AC7530" w:rsidRPr="00AC7530" w:rsidRDefault="00AC7530" w:rsidP="00AC7530">
      <w:bookmarkStart w:id="33" w:name="n32"/>
      <w:bookmarkEnd w:id="33"/>
      <w:r w:rsidRPr="00AC7530">
        <w:t>уповноважений підрозділ НКЦПФР - уповноважений структурний підрозділ НКЦПФР, до функціональних обов’язків якого віднесені питання забезпечення функціонування ЦЗФЗ та здійснення загальної організації управління програмно-технічним комплексом ЦЗФЗ.</w:t>
      </w:r>
    </w:p>
    <w:p w14:paraId="21A6DD2D" w14:textId="77777777" w:rsidR="00AC7530" w:rsidRPr="00AC7530" w:rsidRDefault="00AC7530" w:rsidP="00AC7530">
      <w:bookmarkStart w:id="34" w:name="n33"/>
      <w:bookmarkEnd w:id="34"/>
      <w:r w:rsidRPr="00AC7530">
        <w:t>Інші терміни у цих Вимогах вживаються у значеннях, наведених у Законах України </w:t>
      </w:r>
      <w:hyperlink r:id="rId11" w:tgtFrame="_blank" w:history="1">
        <w:r w:rsidRPr="00AC7530">
          <w:rPr>
            <w:rStyle w:val="ae"/>
          </w:rPr>
          <w:t>«Про ринки капіталу та організовані товарні ринки»</w:t>
        </w:r>
      </w:hyperlink>
      <w:r w:rsidRPr="00AC7530">
        <w:t>, </w:t>
      </w:r>
      <w:hyperlink r:id="rId12" w:tgtFrame="_blank" w:history="1">
        <w:r w:rsidRPr="00AC7530">
          <w:rPr>
            <w:rStyle w:val="ae"/>
          </w:rPr>
          <w:t>«Про бухгалтерський облік та фінансову звітність в Україні»</w:t>
        </w:r>
      </w:hyperlink>
      <w:r w:rsidRPr="00AC7530">
        <w:t>, </w:t>
      </w:r>
      <w:hyperlink r:id="rId13" w:tgtFrame="_blank" w:history="1">
        <w:r w:rsidRPr="00AC7530">
          <w:rPr>
            <w:rStyle w:val="ae"/>
          </w:rPr>
          <w:t>«Про аудит фінансової звітності та аудиторську діяльність»</w:t>
        </w:r>
      </w:hyperlink>
      <w:r w:rsidRPr="00AC7530">
        <w:t>, </w:t>
      </w:r>
      <w:hyperlink r:id="rId14" w:tgtFrame="_blank" w:history="1">
        <w:r w:rsidRPr="00AC7530">
          <w:rPr>
            <w:rStyle w:val="ae"/>
          </w:rPr>
          <w:t>«Про державну реєстрацію юридичних осіб, фізичних осіб - підприємців та громадських формувань»</w:t>
        </w:r>
      </w:hyperlink>
      <w:r w:rsidRPr="00AC7530">
        <w:t>, </w:t>
      </w:r>
      <w:hyperlink r:id="rId15" w:tgtFrame="_blank" w:history="1">
        <w:r w:rsidRPr="00AC7530">
          <w:rPr>
            <w:rStyle w:val="ae"/>
          </w:rPr>
          <w:t>«Про електронну ідентифікацію та електронні довірчі послуги»</w:t>
        </w:r>
      </w:hyperlink>
      <w:r w:rsidRPr="00AC7530">
        <w:t>, постановах Кабінету Міністрів України «Про затвердження Порядку функціонування центру збору фінансової звітності» від 11 серпня 2023 року </w:t>
      </w:r>
      <w:hyperlink r:id="rId16" w:tgtFrame="_blank" w:history="1">
        <w:r w:rsidRPr="00AC7530">
          <w:rPr>
            <w:rStyle w:val="ae"/>
          </w:rPr>
          <w:t>№ 845</w:t>
        </w:r>
      </w:hyperlink>
      <w:r w:rsidRPr="00AC7530">
        <w:t>, «Про затвердження Порядку подання фінансової звітності» від 28 лютого 2000 року </w:t>
      </w:r>
      <w:hyperlink r:id="rId17" w:tgtFrame="_blank" w:history="1">
        <w:r w:rsidRPr="00AC7530">
          <w:rPr>
            <w:rStyle w:val="ae"/>
          </w:rPr>
          <w:t>№ 419</w:t>
        </w:r>
      </w:hyperlink>
      <w:r w:rsidRPr="00AC7530">
        <w:t>.</w:t>
      </w:r>
    </w:p>
    <w:p w14:paraId="197FD0B5" w14:textId="77777777" w:rsidR="00AC7530" w:rsidRPr="00AC7530" w:rsidRDefault="00AC7530" w:rsidP="00AC7530">
      <w:bookmarkStart w:id="35" w:name="n34"/>
      <w:bookmarkEnd w:id="35"/>
      <w:r w:rsidRPr="00AC7530">
        <w:t>4. Взаємодія суб’єктів звітування та ЦЗФЗ під час формування та подання фінансової звітності забезпечується за допомогою вебсайту https://frs.gov.ua у розділах: «Реєстрація суб’єктів звітування», «Реєстрація користувачів на порталі СФЗ», «Портал СФЗ для суб’єктів звітування».</w:t>
      </w:r>
    </w:p>
    <w:p w14:paraId="57765C8F" w14:textId="77777777" w:rsidR="00AC7530" w:rsidRPr="00AC7530" w:rsidRDefault="00AC7530" w:rsidP="00AC7530">
      <w:bookmarkStart w:id="36" w:name="n35"/>
      <w:bookmarkEnd w:id="36"/>
      <w:r w:rsidRPr="00AC7530">
        <w:t>5. З метою подання фінансової звітності до ЦЗФЗ керівник суб’єкта звітування подає заявку на реєстрацію суб’єкта звітування в розділі «Реєстрація суб’єктів звітування» у порядку, передбаченому </w:t>
      </w:r>
      <w:hyperlink r:id="rId18" w:anchor="n51" w:history="1">
        <w:r w:rsidRPr="00AC7530">
          <w:rPr>
            <w:rStyle w:val="ae"/>
          </w:rPr>
          <w:t>розділом III</w:t>
        </w:r>
      </w:hyperlink>
      <w:r w:rsidRPr="00AC7530">
        <w:t> цих Вимог, та заявку на реєстрацію користувача Порталу для суб’єктів звітування в розділі «Реєстрація користувачів на порталі СФЗ» у порядку, передбаченому </w:t>
      </w:r>
      <w:hyperlink r:id="rId19" w:anchor="n79" w:history="1">
        <w:r w:rsidRPr="00AC7530">
          <w:rPr>
            <w:rStyle w:val="ae"/>
          </w:rPr>
          <w:t>розділом IV</w:t>
        </w:r>
      </w:hyperlink>
      <w:r w:rsidRPr="00AC7530">
        <w:t> цих Вимог.</w:t>
      </w:r>
    </w:p>
    <w:p w14:paraId="72C9CB9D" w14:textId="77777777" w:rsidR="00AC7530" w:rsidRPr="00AC7530" w:rsidRDefault="00AC7530" w:rsidP="00AC7530">
      <w:bookmarkStart w:id="37" w:name="n36"/>
      <w:bookmarkEnd w:id="37"/>
      <w:r w:rsidRPr="00AC7530">
        <w:t>6. «Посібник користувача Порталу Центру збору фінансової звітності (ЦЗФЗ) для суб‘єктів звітування», що містить необхідні інструкції для суб’єктів звітування щодо подання фінансової звітності до ЦЗФЗ, розміщений на вебсайті https://frs.gov.ua.</w:t>
      </w:r>
    </w:p>
    <w:p w14:paraId="429534EE" w14:textId="77777777" w:rsidR="00AC7530" w:rsidRPr="00AC7530" w:rsidRDefault="00AC7530" w:rsidP="00AC7530">
      <w:bookmarkStart w:id="38" w:name="n37"/>
      <w:bookmarkEnd w:id="38"/>
      <w:r w:rsidRPr="00AC7530">
        <w:rPr>
          <w:b/>
          <w:bCs/>
        </w:rPr>
        <w:t>II. Фінансова звітність</w:t>
      </w:r>
    </w:p>
    <w:p w14:paraId="711C61B4" w14:textId="77777777" w:rsidR="00AC7530" w:rsidRPr="00AC7530" w:rsidRDefault="00AC7530" w:rsidP="00AC7530">
      <w:bookmarkStart w:id="39" w:name="n38"/>
      <w:bookmarkEnd w:id="39"/>
      <w:r w:rsidRPr="00AC7530">
        <w:t>7. Фінансова звітність, складена на основі таксономії фінансової звітності за міжнародними стандартами, подається до ЦЗФЗ у форматі XBRL у формі електронного файлу шляхом його подання на порталі для суб’єктів звітування.</w:t>
      </w:r>
    </w:p>
    <w:p w14:paraId="68DD2F06" w14:textId="77777777" w:rsidR="00AC7530" w:rsidRPr="00AC7530" w:rsidRDefault="00AC7530" w:rsidP="00AC7530">
      <w:bookmarkStart w:id="40" w:name="n39"/>
      <w:bookmarkEnd w:id="40"/>
      <w:r w:rsidRPr="00AC7530">
        <w:t>8. Таксономія фінансової звітності у форматі XBRL розміщується на вебсайті https://frs.gov.ua.</w:t>
      </w:r>
    </w:p>
    <w:p w14:paraId="0861E41B" w14:textId="77777777" w:rsidR="00AC7530" w:rsidRPr="00AC7530" w:rsidRDefault="00AC7530" w:rsidP="00AC7530">
      <w:bookmarkStart w:id="41" w:name="n40"/>
      <w:bookmarkEnd w:id="41"/>
      <w:r w:rsidRPr="00AC7530">
        <w:t xml:space="preserve">9. Для створення електронного файлу фінансової звітності суб’єкт звітування може використовувати програмний продукт, розміщений на вебсайті https://frs.gov.ua, або інший </w:t>
      </w:r>
      <w:r w:rsidRPr="00AC7530">
        <w:lastRenderedPageBreak/>
        <w:t>програмний продукт, призначений для створення електронних файлів на основі таксономії фінансової звітності у форматі XBRL.</w:t>
      </w:r>
    </w:p>
    <w:p w14:paraId="2E789B01" w14:textId="77777777" w:rsidR="00AC7530" w:rsidRPr="00AC7530" w:rsidRDefault="00AC7530" w:rsidP="00AC7530">
      <w:bookmarkStart w:id="42" w:name="n41"/>
      <w:bookmarkEnd w:id="42"/>
      <w:r w:rsidRPr="00AC7530">
        <w:t>10. Створений електронний файл фінансової звітності підписується за допомогою кваліфікованого електронного підпису, що базується на кваліфікованому сертифікаті відкритого ключа, який повинен містити ідентифікаційні дані фізичної особи (далі - КЕП).</w:t>
      </w:r>
    </w:p>
    <w:p w14:paraId="63DF3BDE" w14:textId="77777777" w:rsidR="00AC7530" w:rsidRPr="00AC7530" w:rsidRDefault="00AC7530" w:rsidP="00AC7530">
      <w:bookmarkStart w:id="43" w:name="n42"/>
      <w:bookmarkEnd w:id="43"/>
      <w:r w:rsidRPr="00AC7530">
        <w:t>11. Підписантами електронного файлу фінансової звітності є особи, зазначені у </w:t>
      </w:r>
      <w:hyperlink r:id="rId20" w:anchor="n192" w:tgtFrame="_blank" w:history="1">
        <w:r w:rsidRPr="00AC7530">
          <w:rPr>
            <w:rStyle w:val="ae"/>
          </w:rPr>
          <w:t>статті 11</w:t>
        </w:r>
      </w:hyperlink>
      <w:r w:rsidRPr="00AC7530">
        <w:t> Закону України «Про бухгалтерський облік та фінансову звітність в Україні».</w:t>
      </w:r>
    </w:p>
    <w:p w14:paraId="0608B0EF" w14:textId="77777777" w:rsidR="00AC7530" w:rsidRPr="00AC7530" w:rsidRDefault="00AC7530" w:rsidP="00AC7530">
      <w:bookmarkStart w:id="44" w:name="n43"/>
      <w:bookmarkEnd w:id="44"/>
      <w:r w:rsidRPr="00AC7530">
        <w:t>Підписантом електронного файлу фінансової звітності, що містить аудиторський звіт (інформацію про аудиторський звіт) або інший звіт аудитора, є також аудитор. Накладання КЕП аудитора на електронний файл фінансової звітності є підписанням такого документа в частині аудиторського звіту або іншого звіту аудитора, який є компонентом такої фінансової звітності.</w:t>
      </w:r>
    </w:p>
    <w:p w14:paraId="167868EA" w14:textId="77777777" w:rsidR="00AC7530" w:rsidRPr="00AC7530" w:rsidRDefault="00AC7530" w:rsidP="00AC7530">
      <w:bookmarkStart w:id="45" w:name="n44"/>
      <w:bookmarkEnd w:id="45"/>
      <w:r w:rsidRPr="00AC7530">
        <w:t>12. Електронний файл фінансової звітності, що подається до центру збору фінансової звітності, являє собою архів формату Zip, 7-Zip або WinRAR. Такий архів містить файл фінансової звітності на основі таксономії фінансової звітності у форматі XBRL, що має розширення «html», та файли підписів, що мають розширення «p7s».</w:t>
      </w:r>
    </w:p>
    <w:p w14:paraId="245D934E" w14:textId="77777777" w:rsidR="00AC7530" w:rsidRPr="00AC7530" w:rsidRDefault="00AC7530" w:rsidP="00AC7530">
      <w:bookmarkStart w:id="46" w:name="n45"/>
      <w:bookmarkEnd w:id="46"/>
      <w:r w:rsidRPr="00AC7530">
        <w:t>13. Річна фінансова звітність / річна консолідована фінансова звітність (у разі складання консолідованої фінансової звітності) подається суб’єктами звітування до ЦЗФЗ не пізніше 30 квітня року, наступного за звітним.</w:t>
      </w:r>
    </w:p>
    <w:p w14:paraId="34E8D6F3" w14:textId="77777777" w:rsidR="00AC7530" w:rsidRPr="00AC7530" w:rsidRDefault="00AC7530" w:rsidP="00AC7530">
      <w:bookmarkStart w:id="47" w:name="n115"/>
      <w:bookmarkEnd w:id="47"/>
      <w:r w:rsidRPr="00AC7530">
        <w:t>Проміжна фінансова звітність подається суб’єктами звітування до ЦЗФЗ не пізніше останнього числа місяця, наступного за звітним, крім проміжної консолідованої фінансової звітності, яка подається не пізніше останнього числа другого місяця, наступного за звітним.</w:t>
      </w:r>
    </w:p>
    <w:p w14:paraId="638B0A48" w14:textId="77777777" w:rsidR="00AC7530" w:rsidRPr="00AC7530" w:rsidRDefault="00AC7530" w:rsidP="00AC7530">
      <w:bookmarkStart w:id="48" w:name="n116"/>
      <w:bookmarkEnd w:id="48"/>
      <w:r w:rsidRPr="00AC7530">
        <w:t>Строки подання суб’єктами звітування фінансової звітності за звітний період, відмінний від річного та проміжного, визначаються відповідно до вимог законодавства.</w:t>
      </w:r>
    </w:p>
    <w:p w14:paraId="68165C79" w14:textId="77777777" w:rsidR="00AC7530" w:rsidRPr="00AC7530" w:rsidRDefault="00AC7530" w:rsidP="00AC7530">
      <w:bookmarkStart w:id="49" w:name="n117"/>
      <w:bookmarkEnd w:id="49"/>
      <w:r w:rsidRPr="00AC7530">
        <w:rPr>
          <w:i/>
          <w:iCs/>
        </w:rPr>
        <w:t>{Пункт 13 розділу II в редакції Рішення Національної комісії з цінних паперів та фондового ринку </w:t>
      </w:r>
      <w:hyperlink r:id="rId21" w:anchor="n22" w:tgtFrame="_blank" w:history="1">
        <w:r w:rsidRPr="00AC7530">
          <w:rPr>
            <w:rStyle w:val="ae"/>
            <w:i/>
            <w:iCs/>
          </w:rPr>
          <w:t>№ 36/21/4172/К03 від 16.04.2026</w:t>
        </w:r>
      </w:hyperlink>
      <w:r w:rsidRPr="00AC7530">
        <w:rPr>
          <w:i/>
          <w:iCs/>
        </w:rPr>
        <w:t>}</w:t>
      </w:r>
    </w:p>
    <w:p w14:paraId="3CE67283" w14:textId="77777777" w:rsidR="00AC7530" w:rsidRPr="00AC7530" w:rsidRDefault="00AC7530" w:rsidP="00AC7530">
      <w:bookmarkStart w:id="50" w:name="n46"/>
      <w:bookmarkEnd w:id="50"/>
      <w:r w:rsidRPr="00AC7530">
        <w:t>14. Підтвердженням факту подання суб’єктом звітування фінансової звітності до ЦЗФЗ є відображення запису щодо успішного подання такої фінансової звітності на сторінці «Історія надсилань» особистого кабінету користувача порталу для суб’єктів звітування.</w:t>
      </w:r>
    </w:p>
    <w:p w14:paraId="6FC3DC49" w14:textId="77777777" w:rsidR="00AC7530" w:rsidRPr="00AC7530" w:rsidRDefault="00AC7530" w:rsidP="00AC7530">
      <w:bookmarkStart w:id="51" w:name="n47"/>
      <w:bookmarkEnd w:id="51"/>
      <w:r w:rsidRPr="00AC7530">
        <w:t>15. Суб’єкт звітування в разі виявлення помилок або за необхідності уточнення даних фінансової звітності, що подана до ЦЗФЗ, подає уточнену фінансову звітність на заміну раніше поданої.</w:t>
      </w:r>
    </w:p>
    <w:p w14:paraId="47E6CE69" w14:textId="77777777" w:rsidR="00AC7530" w:rsidRPr="00AC7530" w:rsidRDefault="00AC7530" w:rsidP="00AC7530">
      <w:bookmarkStart w:id="52" w:name="n48"/>
      <w:bookmarkEnd w:id="52"/>
      <w:r w:rsidRPr="00AC7530">
        <w:t>16. Показники річної та проміжної фінансової звітності, а також річної та проміжної консолідованої фінансової звітності, що подаються учасниками ринків капіталу до центру збору фінансової звітності, згідно з вимогами постанови Кабінету Міністрів України «Про затвердження Порядку подання фінансової звітності» від 28 лютого 2000 року </w:t>
      </w:r>
      <w:hyperlink r:id="rId22" w:tgtFrame="_blank" w:history="1">
        <w:r w:rsidRPr="00AC7530">
          <w:rPr>
            <w:rStyle w:val="ae"/>
          </w:rPr>
          <w:t>№ 419</w:t>
        </w:r>
      </w:hyperlink>
      <w:r w:rsidRPr="00AC7530">
        <w:t>, розкриваються відповідно до синтаксису електронного формату файлу за відповідний рік, що оприлюднений на вебсайтах центру збору фінансової звітності (https://frs.gov.ua/learning/taxonomy/) та НКЦПФР (https://www.nssmc.gov.ua/taksonomiia-xbrl/).</w:t>
      </w:r>
    </w:p>
    <w:p w14:paraId="7C896F94" w14:textId="77777777" w:rsidR="00AC7530" w:rsidRPr="00AC7530" w:rsidRDefault="00AC7530" w:rsidP="00AC7530">
      <w:bookmarkStart w:id="53" w:name="n119"/>
      <w:bookmarkEnd w:id="53"/>
      <w:r w:rsidRPr="00AC7530">
        <w:t>Дані та інформація такої фінансової звітності мають розкриватися у відповідних полях та форматах звітних форм представлення інформації у структурі файлу. В полях додаткової інформації звітних форм (приміток) зазначається лише та інформація, яку не можна розкрити у наявних полях відповідних показників.</w:t>
      </w:r>
    </w:p>
    <w:p w14:paraId="3F8A6E03" w14:textId="77777777" w:rsidR="00AC7530" w:rsidRPr="00AC7530" w:rsidRDefault="00AC7530" w:rsidP="00AC7530">
      <w:bookmarkStart w:id="54" w:name="n120"/>
      <w:bookmarkEnd w:id="54"/>
      <w:r w:rsidRPr="00AC7530">
        <w:rPr>
          <w:i/>
          <w:iCs/>
        </w:rPr>
        <w:t>{Пункт 16 розділу II доповнено абзацом другим згідно з Рішенням Національної комісії з цінних паперів та фондового ринку </w:t>
      </w:r>
      <w:hyperlink r:id="rId23" w:anchor="n26" w:tgtFrame="_blank" w:history="1">
        <w:r w:rsidRPr="00AC7530">
          <w:rPr>
            <w:rStyle w:val="ae"/>
            <w:i/>
            <w:iCs/>
          </w:rPr>
          <w:t>№ 36/21/4172/К03 від 16.04.2026</w:t>
        </w:r>
      </w:hyperlink>
      <w:r w:rsidRPr="00AC7530">
        <w:rPr>
          <w:i/>
          <w:iCs/>
        </w:rPr>
        <w:t>}</w:t>
      </w:r>
    </w:p>
    <w:p w14:paraId="3CAB3CA3" w14:textId="77777777" w:rsidR="00AC7530" w:rsidRPr="00AC7530" w:rsidRDefault="00AC7530" w:rsidP="00AC7530">
      <w:bookmarkStart w:id="55" w:name="n49"/>
      <w:bookmarkEnd w:id="55"/>
      <w:r w:rsidRPr="00AC7530">
        <w:lastRenderedPageBreak/>
        <w:t>Електронний файл фінансової звітності, яка підлягає обов’язковому аудиту, має містити аудиторський звіт в повному обсязі.</w:t>
      </w:r>
    </w:p>
    <w:p w14:paraId="10420100" w14:textId="77777777" w:rsidR="00AC7530" w:rsidRPr="00AC7530" w:rsidRDefault="00AC7530" w:rsidP="00AC7530">
      <w:bookmarkStart w:id="56" w:name="n50"/>
      <w:bookmarkEnd w:id="56"/>
      <w:r w:rsidRPr="00AC7530">
        <w:t>17. Фінансова звітність, що подана до ЦЗФЗ, вважається такою, що подана до НКЦПФР у складі звітних даних та/або регулярної інформації відповідно до вимог законодавства, що регламентує порядок подання такої інформації.</w:t>
      </w:r>
    </w:p>
    <w:p w14:paraId="4F2D10ED" w14:textId="77777777" w:rsidR="00AC7530" w:rsidRPr="00AC7530" w:rsidRDefault="00AC7530" w:rsidP="00AC7530">
      <w:bookmarkStart w:id="57" w:name="n122"/>
      <w:bookmarkEnd w:id="57"/>
      <w:r w:rsidRPr="00AC7530">
        <w:t>Електронний файл річної фінансової звітності має містити аудиторський звіт, який подається разом з річною фінансовою звітністю / річною консолідованою фінансовою звітністю (у разі складання консолідованої фінансової звітності).</w:t>
      </w:r>
    </w:p>
    <w:p w14:paraId="0EEF2938" w14:textId="77777777" w:rsidR="00AC7530" w:rsidRPr="00AC7530" w:rsidRDefault="00AC7530" w:rsidP="00AC7530">
      <w:bookmarkStart w:id="58" w:name="n123"/>
      <w:bookmarkEnd w:id="58"/>
      <w:r w:rsidRPr="00AC7530">
        <w:t>Електронний файл проміжної фінансової звітності у випадках, визначених законодавством, має містити звіт щодо огляду проміжної фінансової звітності (проміжної консолідованої фінансової звітності), який подається разом із проміжною фінансовою звітністю / проміжною консолідованою фінансовою звітністю (у разі складання консолідованої фінансової звітності).</w:t>
      </w:r>
    </w:p>
    <w:p w14:paraId="080D0A03" w14:textId="77777777" w:rsidR="00AC7530" w:rsidRPr="00AC7530" w:rsidRDefault="00AC7530" w:rsidP="00AC7530">
      <w:bookmarkStart w:id="59" w:name="n124"/>
      <w:bookmarkEnd w:id="59"/>
      <w:r w:rsidRPr="00AC7530">
        <w:t>Аудиторський звіт та звіт щодо огляду проміжної фінансової звітності складається відповідно до </w:t>
      </w:r>
      <w:hyperlink r:id="rId24" w:tgtFrame="_blank" w:history="1">
        <w:r w:rsidRPr="00AC7530">
          <w:rPr>
            <w:rStyle w:val="ae"/>
          </w:rPr>
          <w:t>Закону України</w:t>
        </w:r>
      </w:hyperlink>
      <w:r w:rsidRPr="00AC7530">
        <w:t> «Про аудит фінансової звітності та аудиторську діяльність», має відповідати Міжнародним стандартам контролю якості, аудиту, огляду, іншого надання впевненості та супутніх послуг та вимогам, встановленим нормативно-правовими актами НКЦПФР щодо інформації, що стосується аудиту або огляду фінансової звітності учасників ринків капіталу та організованих товарних ринків.</w:t>
      </w:r>
    </w:p>
    <w:p w14:paraId="7745BF32" w14:textId="77777777" w:rsidR="00AC7530" w:rsidRPr="00AC7530" w:rsidRDefault="00AC7530" w:rsidP="00AC7530">
      <w:bookmarkStart w:id="60" w:name="n125"/>
      <w:bookmarkEnd w:id="60"/>
      <w:r w:rsidRPr="00AC7530">
        <w:t>Обов’язковим компонентом фінансової звітності у форматі XBRL суб’єктів звітування, які є емітентами цінних паперів (крім цінних паперів інститутів спільного інвестування), є звіт керівництва.</w:t>
      </w:r>
    </w:p>
    <w:p w14:paraId="49C4E483" w14:textId="77777777" w:rsidR="00AC7530" w:rsidRPr="00AC7530" w:rsidRDefault="00AC7530" w:rsidP="00AC7530">
      <w:bookmarkStart w:id="61" w:name="n126"/>
      <w:bookmarkEnd w:id="61"/>
      <w:r w:rsidRPr="00AC7530">
        <w:t>Суб’єкти звітування, які відповідно до </w:t>
      </w:r>
      <w:hyperlink r:id="rId25" w:anchor="n55" w:tgtFrame="_blank" w:history="1">
        <w:r w:rsidRPr="00AC7530">
          <w:rPr>
            <w:rStyle w:val="ae"/>
          </w:rPr>
          <w:t>частини другої</w:t>
        </w:r>
      </w:hyperlink>
      <w:r w:rsidRPr="00AC7530">
        <w:t> статті 2 Закону України «Про бухгалтерський облік та фінансову звітність в Україні» відносяться до категорії мікропідприємств та малих підприємств та не є емітентами цінних паперів, не подають звіт про управління, крім випадків подання такого звіту на запит НКЦПФР, якщо такий звіт не був оприлюднений.</w:t>
      </w:r>
    </w:p>
    <w:p w14:paraId="217F5F77" w14:textId="77777777" w:rsidR="00AC7530" w:rsidRPr="00AC7530" w:rsidRDefault="00AC7530" w:rsidP="00AC7530">
      <w:bookmarkStart w:id="62" w:name="n127"/>
      <w:bookmarkEnd w:id="62"/>
      <w:r w:rsidRPr="00AC7530">
        <w:t>Суб’єкти звітування зобов’язані розкривати у річній та проміжній фінансовій звітності (річній та проміжній консолідованій фінансовій звітності) у форматі XBRL додаткову інформацію, наведену у </w:t>
      </w:r>
      <w:hyperlink r:id="rId26" w:anchor="n158" w:history="1">
        <w:r w:rsidRPr="00AC7530">
          <w:rPr>
            <w:rStyle w:val="ae"/>
          </w:rPr>
          <w:t>додатку 1</w:t>
        </w:r>
      </w:hyperlink>
      <w:r w:rsidRPr="00AC7530">
        <w:t>.</w:t>
      </w:r>
    </w:p>
    <w:p w14:paraId="2E7E24F5" w14:textId="77777777" w:rsidR="00AC7530" w:rsidRPr="00AC7530" w:rsidRDefault="00AC7530" w:rsidP="00AC7530">
      <w:bookmarkStart w:id="63" w:name="n128"/>
      <w:bookmarkEnd w:id="63"/>
      <w:r w:rsidRPr="00AC7530">
        <w:rPr>
          <w:i/>
          <w:iCs/>
        </w:rPr>
        <w:t>{Пункт 17 розділу II в редакції Рішення Національної комісії з цінних паперів та фондового ринку </w:t>
      </w:r>
      <w:hyperlink r:id="rId27" w:anchor="n29" w:tgtFrame="_blank" w:history="1">
        <w:r w:rsidRPr="00AC7530">
          <w:rPr>
            <w:rStyle w:val="ae"/>
            <w:i/>
            <w:iCs/>
          </w:rPr>
          <w:t>№ 36/21/4172/К03 від 16.04.2026</w:t>
        </w:r>
      </w:hyperlink>
      <w:r w:rsidRPr="00AC7530">
        <w:rPr>
          <w:i/>
          <w:iCs/>
        </w:rPr>
        <w:t>}</w:t>
      </w:r>
    </w:p>
    <w:p w14:paraId="385CA4D8" w14:textId="77777777" w:rsidR="00AC7530" w:rsidRPr="00AC7530" w:rsidRDefault="00AC7530" w:rsidP="00AC7530">
      <w:bookmarkStart w:id="64" w:name="n51"/>
      <w:bookmarkEnd w:id="64"/>
      <w:r w:rsidRPr="00AC7530">
        <w:rPr>
          <w:b/>
          <w:bCs/>
        </w:rPr>
        <w:t>III. Реєстрація суб’єктів звітування</w:t>
      </w:r>
    </w:p>
    <w:p w14:paraId="552CC424" w14:textId="77777777" w:rsidR="00AC7530" w:rsidRPr="00AC7530" w:rsidRDefault="00AC7530" w:rsidP="00AC7530">
      <w:bookmarkStart w:id="65" w:name="n52"/>
      <w:bookmarkEnd w:id="65"/>
      <w:r w:rsidRPr="00AC7530">
        <w:t>18. З метою реєстрації суб’єкта звітування, керівник суб’єкта звітування в розділі «Реєстрація суб’єктів звітування» на головній сторінці вебсайту https://frs.gov.ua зобов’язаний сформувати, підписати КЕП посадової особи суб’єкта звітування та надіслати до ЦЗФЗ заявку на реєстрацію.</w:t>
      </w:r>
    </w:p>
    <w:p w14:paraId="316D7278" w14:textId="77777777" w:rsidR="00AC7530" w:rsidRPr="00AC7530" w:rsidRDefault="00AC7530" w:rsidP="00AC7530">
      <w:bookmarkStart w:id="66" w:name="n53"/>
      <w:bookmarkEnd w:id="66"/>
      <w:r w:rsidRPr="00AC7530">
        <w:t>За результатом надсилання такої заявки на електронну пошту, зазначену у ній, автоматично надходить лист підтвердження щодо її подання, а на електронну пошту уповноваженого підрозділу НКЦПФР - лист про її отримання ЦЗФЗ.</w:t>
      </w:r>
    </w:p>
    <w:p w14:paraId="4ECD33D1" w14:textId="77777777" w:rsidR="00AC7530" w:rsidRPr="00AC7530" w:rsidRDefault="00AC7530" w:rsidP="00AC7530">
      <w:bookmarkStart w:id="67" w:name="n54"/>
      <w:bookmarkEnd w:id="67"/>
      <w:r w:rsidRPr="00AC7530">
        <w:t>19. Уповноважений підрозділ НКЦПФР:</w:t>
      </w:r>
    </w:p>
    <w:p w14:paraId="3149CB0B" w14:textId="77777777" w:rsidR="00AC7530" w:rsidRPr="00AC7530" w:rsidRDefault="00AC7530" w:rsidP="00AC7530">
      <w:bookmarkStart w:id="68" w:name="n55"/>
      <w:bookmarkEnd w:id="68"/>
      <w:r w:rsidRPr="00AC7530">
        <w:t>здійснює реєстрацію (створює обліковий запис) суб’єкта звітування в ЦЗФЗ не пізніше третього робочого дня з моменту отримання заявки на реєстрацію;</w:t>
      </w:r>
    </w:p>
    <w:p w14:paraId="76FF30F8" w14:textId="77777777" w:rsidR="00AC7530" w:rsidRPr="00AC7530" w:rsidRDefault="00AC7530" w:rsidP="00AC7530">
      <w:bookmarkStart w:id="69" w:name="n56"/>
      <w:bookmarkEnd w:id="69"/>
      <w:r w:rsidRPr="00AC7530">
        <w:lastRenderedPageBreak/>
        <w:t>створює для суб’єкта звітування запити на подання корпоративного профілю та подання фінансової звітності. Повідомлення про такі запити надходять на електронну пошту, зазначену у заявці на реєстрацію, не пізніше третього робочого дня з дати реєстрації суб’єкта звітування.</w:t>
      </w:r>
    </w:p>
    <w:p w14:paraId="3706A157" w14:textId="77777777" w:rsidR="00AC7530" w:rsidRPr="00AC7530" w:rsidRDefault="00AC7530" w:rsidP="00AC7530">
      <w:bookmarkStart w:id="70" w:name="n57"/>
      <w:bookmarkEnd w:id="70"/>
      <w:r w:rsidRPr="00AC7530">
        <w:t>20. Суб’єкт звітування зобов’язаний підготувати та подати до ЦЗФЗ корпоративний профіль не пізніше третього робочого дня з дати надсилання уповноваженим підрозділом НКЦПФР відповідного запиту.</w:t>
      </w:r>
    </w:p>
    <w:p w14:paraId="14685B34" w14:textId="77777777" w:rsidR="00AC7530" w:rsidRPr="00AC7530" w:rsidRDefault="00AC7530" w:rsidP="00AC7530">
      <w:bookmarkStart w:id="71" w:name="n58"/>
      <w:bookmarkEnd w:id="71"/>
      <w:r w:rsidRPr="00AC7530">
        <w:t>21. Корпоративний профіль містить такі дані про суб’єкта звітування:</w:t>
      </w:r>
    </w:p>
    <w:p w14:paraId="027F9025" w14:textId="77777777" w:rsidR="00AC7530" w:rsidRPr="00AC7530" w:rsidRDefault="00AC7530" w:rsidP="00AC7530">
      <w:bookmarkStart w:id="72" w:name="n59"/>
      <w:bookmarkEnd w:id="72"/>
      <w:r w:rsidRPr="00AC7530">
        <w:t>повне та скорочене найменування згідно з реєстраційними документами;</w:t>
      </w:r>
    </w:p>
    <w:p w14:paraId="72C97C08" w14:textId="77777777" w:rsidR="00AC7530" w:rsidRPr="00AC7530" w:rsidRDefault="00AC7530" w:rsidP="00AC7530">
      <w:bookmarkStart w:id="73" w:name="n60"/>
      <w:bookmarkEnd w:id="73"/>
      <w:r w:rsidRPr="00AC7530">
        <w:t>тип та вид інвестиційного фонду (за наявності);</w:t>
      </w:r>
    </w:p>
    <w:p w14:paraId="36A83FA3" w14:textId="77777777" w:rsidR="00AC7530" w:rsidRPr="00AC7530" w:rsidRDefault="00AC7530" w:rsidP="00AC7530">
      <w:bookmarkStart w:id="74" w:name="n61"/>
      <w:bookmarkEnd w:id="74"/>
      <w:r w:rsidRPr="00AC7530">
        <w:t>код виду економічної діяльності (КВЕД);</w:t>
      </w:r>
    </w:p>
    <w:p w14:paraId="6F9E1D04" w14:textId="77777777" w:rsidR="00AC7530" w:rsidRPr="00AC7530" w:rsidRDefault="00AC7530" w:rsidP="00AC7530">
      <w:bookmarkStart w:id="75" w:name="n62"/>
      <w:bookmarkEnd w:id="75"/>
      <w:r w:rsidRPr="00AC7530">
        <w:t>метод складання звітності про фінансовий стан (за принципом ліквідності активів або розподілу на поточні та непоточні активи);</w:t>
      </w:r>
    </w:p>
    <w:p w14:paraId="1FCC0343" w14:textId="77777777" w:rsidR="00AC7530" w:rsidRPr="00AC7530" w:rsidRDefault="00AC7530" w:rsidP="00AC7530">
      <w:bookmarkStart w:id="76" w:name="n63"/>
      <w:bookmarkEnd w:id="76"/>
      <w:r w:rsidRPr="00AC7530">
        <w:t>місцезнаходження та контактна інформація (вулиця, будинок, корпус, офіс, місто, індекс, телефон, адреса електронної пошти, адреса вебсайту);</w:t>
      </w:r>
    </w:p>
    <w:p w14:paraId="70A5EEE3" w14:textId="77777777" w:rsidR="00AC7530" w:rsidRPr="00AC7530" w:rsidRDefault="00AC7530" w:rsidP="00AC7530">
      <w:bookmarkStart w:id="77" w:name="n64"/>
      <w:bookmarkEnd w:id="77"/>
      <w:r w:rsidRPr="00AC7530">
        <w:t>дозвільні документи (за наявності);</w:t>
      </w:r>
    </w:p>
    <w:p w14:paraId="28CA7A98" w14:textId="77777777" w:rsidR="00AC7530" w:rsidRPr="00AC7530" w:rsidRDefault="00AC7530" w:rsidP="00AC7530">
      <w:bookmarkStart w:id="78" w:name="n65"/>
      <w:bookmarkEnd w:id="78"/>
      <w:r w:rsidRPr="00AC7530">
        <w:t>дані про керівника суб’єкта звітування - посада, прізвище, власне ім’я, по батькові (за наявності), адреса електронної пошти;</w:t>
      </w:r>
    </w:p>
    <w:p w14:paraId="7ACDE412" w14:textId="77777777" w:rsidR="00AC7530" w:rsidRPr="00AC7530" w:rsidRDefault="00AC7530" w:rsidP="00AC7530">
      <w:bookmarkStart w:id="79" w:name="n66"/>
      <w:bookmarkEnd w:id="79"/>
      <w:r w:rsidRPr="00AC7530">
        <w:t>дані про іншу особу, відповідальну за підписання та подання фінансової звітності (за наявності) - посада, прізвище, власне ім’я, по батькові (за наявності), адреса електронної пошти, назва та реквізити документа, що засвідчує повноваження на підписання фінансової звітності;</w:t>
      </w:r>
    </w:p>
    <w:p w14:paraId="47B371FC" w14:textId="77777777" w:rsidR="00AC7530" w:rsidRPr="00AC7530" w:rsidRDefault="00AC7530" w:rsidP="00AC7530">
      <w:bookmarkStart w:id="80" w:name="n67"/>
      <w:bookmarkEnd w:id="80"/>
      <w:r w:rsidRPr="00AC7530">
        <w:t>дані про головного бухгалтера - посада, прізвище, власне ім’я, по батькові (за наявності), телефон, адреса електронної пошти;</w:t>
      </w:r>
    </w:p>
    <w:p w14:paraId="4A28BCAB" w14:textId="77777777" w:rsidR="00AC7530" w:rsidRPr="00AC7530" w:rsidRDefault="00AC7530" w:rsidP="00AC7530">
      <w:bookmarkStart w:id="81" w:name="n68"/>
      <w:bookmarkEnd w:id="81"/>
      <w:r w:rsidRPr="00AC7530">
        <w:t>дані про іншу особу, відповідальну за підписання та завантаження фінансової звітності (за наявності) - посада, прізвище, власне ім’я, по батькові (за наявності), телефон, адреса електронної пошти, назва та реквізити документа, що засвідчує повноваження на підписання фінансової звітності ;</w:t>
      </w:r>
    </w:p>
    <w:p w14:paraId="17DACA15" w14:textId="77777777" w:rsidR="00AC7530" w:rsidRPr="00AC7530" w:rsidRDefault="00AC7530" w:rsidP="00AC7530">
      <w:bookmarkStart w:id="82" w:name="n69"/>
      <w:bookmarkEnd w:id="82"/>
      <w:r w:rsidRPr="00AC7530">
        <w:t>дані про особу, відповідальну за керування обліковими записами на порталі для суб'єктів звітування - посада, прізвище, власне ім’я, по батькові (за наявності), телефон, адреса електронної пошти;</w:t>
      </w:r>
    </w:p>
    <w:p w14:paraId="3F8758ED" w14:textId="77777777" w:rsidR="00AC7530" w:rsidRPr="00AC7530" w:rsidRDefault="00AC7530" w:rsidP="00AC7530">
      <w:bookmarkStart w:id="83" w:name="n70"/>
      <w:bookmarkEnd w:id="83"/>
      <w:r w:rsidRPr="00AC7530">
        <w:t>дані про іншу особу, відповідальну за керування обліковими записами на порталі для суб'єктів звітування (за наявності) - посада, прізвище, власне ім’я, по батькові (за наявності), телефон, адреса електронної пошти;</w:t>
      </w:r>
    </w:p>
    <w:p w14:paraId="466B5902" w14:textId="77777777" w:rsidR="00AC7530" w:rsidRPr="00AC7530" w:rsidRDefault="00AC7530" w:rsidP="00AC7530">
      <w:bookmarkStart w:id="84" w:name="n71"/>
      <w:bookmarkEnd w:id="84"/>
      <w:r w:rsidRPr="00AC7530">
        <w:t>дані про аудиторську компанію (за наявності) - повне найменування, ідентифікаційний код, прізвище, власне ім’я, по батькові (за наявності) ключового партнера з аудиту, телефон, адреса електронної пошти;</w:t>
      </w:r>
    </w:p>
    <w:p w14:paraId="1F42848F" w14:textId="77777777" w:rsidR="00AC7530" w:rsidRPr="00AC7530" w:rsidRDefault="00AC7530" w:rsidP="00AC7530">
      <w:bookmarkStart w:id="85" w:name="n72"/>
      <w:bookmarkEnd w:id="85"/>
      <w:r w:rsidRPr="00AC7530">
        <w:t>дані про компанію з управління активами/адміністратора недержавних пенсійних фондів (за наявності) - повне найменування, ідентифікаційний код ;</w:t>
      </w:r>
    </w:p>
    <w:p w14:paraId="55E42BD4" w14:textId="77777777" w:rsidR="00AC7530" w:rsidRPr="00AC7530" w:rsidRDefault="00AC7530" w:rsidP="00AC7530">
      <w:bookmarkStart w:id="86" w:name="n73"/>
      <w:bookmarkEnd w:id="86"/>
      <w:r w:rsidRPr="00AC7530">
        <w:t>додаткова інформація (за наявності).</w:t>
      </w:r>
    </w:p>
    <w:p w14:paraId="2D72419A" w14:textId="77777777" w:rsidR="00AC7530" w:rsidRPr="00AC7530" w:rsidRDefault="00AC7530" w:rsidP="00AC7530">
      <w:bookmarkStart w:id="87" w:name="n74"/>
      <w:bookmarkEnd w:id="87"/>
      <w:r w:rsidRPr="00AC7530">
        <w:t>22. Уповноважений підрозділ НКЦПФР перевіряє повноту заповнення інформації корпоративного профілю та погоджує його не пізніше третього робочого дня з дати його отримання.</w:t>
      </w:r>
    </w:p>
    <w:p w14:paraId="134B85C4" w14:textId="77777777" w:rsidR="00AC7530" w:rsidRPr="00AC7530" w:rsidRDefault="00AC7530" w:rsidP="00AC7530">
      <w:bookmarkStart w:id="88" w:name="n75"/>
      <w:bookmarkEnd w:id="88"/>
      <w:r w:rsidRPr="00AC7530">
        <w:lastRenderedPageBreak/>
        <w:t>23. У випадку подання неповної інформації корпоративний профіль не погоджується ЦЗФЗ та повертається на доопрацювання.</w:t>
      </w:r>
    </w:p>
    <w:p w14:paraId="53577B5B" w14:textId="77777777" w:rsidR="00AC7530" w:rsidRPr="00AC7530" w:rsidRDefault="00AC7530" w:rsidP="00AC7530">
      <w:bookmarkStart w:id="89" w:name="n76"/>
      <w:bookmarkEnd w:id="89"/>
      <w:r w:rsidRPr="00AC7530">
        <w:t>24. Погодженням корпоративного профілю уповноваженим підрозділом НКЦПФР завершується реєстрація суб’єкта звітування на порталі для суб’єктів звітування.</w:t>
      </w:r>
    </w:p>
    <w:p w14:paraId="5E243304" w14:textId="77777777" w:rsidR="00AC7530" w:rsidRPr="00AC7530" w:rsidRDefault="00AC7530" w:rsidP="00AC7530">
      <w:bookmarkStart w:id="90" w:name="n77"/>
      <w:bookmarkEnd w:id="90"/>
      <w:r w:rsidRPr="00AC7530">
        <w:t>25. У випадку зміни інформації, зазначеної у корпоративному профілі, суб’єкт звітування зобов’язаний подати до ЦЗФЗ запит на його повторне надсилання / редагування, не пізніше третього робочого дня з дати, коли такі зміни відбулися.</w:t>
      </w:r>
    </w:p>
    <w:p w14:paraId="2DC5FBF1" w14:textId="77777777" w:rsidR="00AC7530" w:rsidRPr="00AC7530" w:rsidRDefault="00AC7530" w:rsidP="00AC7530">
      <w:bookmarkStart w:id="91" w:name="n78"/>
      <w:bookmarkEnd w:id="91"/>
      <w:r w:rsidRPr="00AC7530">
        <w:t>26. Суб’єкт звітування зобов’язаний подати до ЦЗФЗ оновлений корпоративний профіль не пізніше третього робочого дня з дати погодження уповноваженим підрозділом НКЦПФР запиту на його повторне надсилання / редагування.</w:t>
      </w:r>
    </w:p>
    <w:p w14:paraId="1F5F1E13" w14:textId="77777777" w:rsidR="00AC7530" w:rsidRPr="00AC7530" w:rsidRDefault="00AC7530" w:rsidP="00AC7530">
      <w:bookmarkStart w:id="92" w:name="n79"/>
      <w:bookmarkEnd w:id="92"/>
      <w:r w:rsidRPr="00AC7530">
        <w:rPr>
          <w:b/>
          <w:bCs/>
        </w:rPr>
        <w:t>IV. Реєстрація користувачів суб’єкта звітування</w:t>
      </w:r>
    </w:p>
    <w:p w14:paraId="1F118A5C" w14:textId="77777777" w:rsidR="00AC7530" w:rsidRPr="00AC7530" w:rsidRDefault="00AC7530" w:rsidP="00AC7530">
      <w:bookmarkStart w:id="93" w:name="n80"/>
      <w:bookmarkEnd w:id="93"/>
      <w:r w:rsidRPr="00AC7530">
        <w:t>27. З метою реєстрації користувача суб’єкта звітування, керівник суб’єкта звітування в розділі «Реєстрація користувачів на порталі СФЗ» на головній сторінці вебсайту https://frs.gov.ua, зобов’язаний сформувати, підписати КЕП та надіслати до ЦЗФЗ заявку на реєстрацію. При цьому на електронну пошту, зазначену у цій заявці, надходить повідомлення про її успішне подання.</w:t>
      </w:r>
    </w:p>
    <w:p w14:paraId="7EF59B86" w14:textId="77777777" w:rsidR="00AC7530" w:rsidRPr="00AC7530" w:rsidRDefault="00AC7530" w:rsidP="00AC7530">
      <w:bookmarkStart w:id="94" w:name="n130"/>
      <w:bookmarkEnd w:id="94"/>
      <w:r w:rsidRPr="00AC7530">
        <w:t>За однією електронною адресою може бути зареєстровано лише одного користувача суб’єкта звітування. Електронна адреса користувача суб’єкта звітування зазначається в полі «Ім’я користувача» при вході до особистого кабінету, авторизація до якого відбувається за КЕП користувача на державному ресурсі електронної ідентифікації https://id.gov.ua.</w:t>
      </w:r>
    </w:p>
    <w:p w14:paraId="2F5C550C" w14:textId="77777777" w:rsidR="00AC7530" w:rsidRPr="00AC7530" w:rsidRDefault="00AC7530" w:rsidP="00AC7530">
      <w:bookmarkStart w:id="95" w:name="n131"/>
      <w:bookmarkEnd w:id="95"/>
      <w:r w:rsidRPr="00AC7530">
        <w:rPr>
          <w:i/>
          <w:iCs/>
        </w:rPr>
        <w:t>{Пункт 27 розділу IV доповнено новим абзацом згідно з Рішенням Національної комісії з цінних паперів та фондового ринку </w:t>
      </w:r>
      <w:hyperlink r:id="rId28" w:anchor="n37" w:tgtFrame="_blank" w:history="1">
        <w:r w:rsidRPr="00AC7530">
          <w:rPr>
            <w:rStyle w:val="ae"/>
            <w:i/>
            <w:iCs/>
          </w:rPr>
          <w:t>№ 36/21/4172/К03 від 16.04.2026</w:t>
        </w:r>
      </w:hyperlink>
      <w:r w:rsidRPr="00AC7530">
        <w:rPr>
          <w:i/>
          <w:iCs/>
        </w:rPr>
        <w:t>}</w:t>
      </w:r>
    </w:p>
    <w:p w14:paraId="04378075" w14:textId="77777777" w:rsidR="00AC7530" w:rsidRPr="00AC7530" w:rsidRDefault="00AC7530" w:rsidP="00AC7530">
      <w:bookmarkStart w:id="96" w:name="n81"/>
      <w:bookmarkEnd w:id="96"/>
      <w:r w:rsidRPr="00AC7530">
        <w:t>28. Уповноважений підрозділ НКЦПФР здійснює реєстрацію (створює обліковий запис) користувача суб’єкта звітування не пізніше третього робочого дня з моменту отримання заявки на реєстрацію.</w:t>
      </w:r>
    </w:p>
    <w:p w14:paraId="6047CCD6" w14:textId="77777777" w:rsidR="00AC7530" w:rsidRPr="00AC7530" w:rsidRDefault="00AC7530" w:rsidP="00AC7530">
      <w:bookmarkStart w:id="97" w:name="n82"/>
      <w:bookmarkEnd w:id="97"/>
      <w:r w:rsidRPr="00AC7530">
        <w:t>29. Після створення облікового запису користувача суб’єкта звітування, на електронну поштову скриньку, зазначену в заявці, автоматично надсилається повідомлення із даними для налаштування доступу до його особистого кабінету.</w:t>
      </w:r>
    </w:p>
    <w:p w14:paraId="3D8A20C2" w14:textId="77777777" w:rsidR="00AC7530" w:rsidRPr="00AC7530" w:rsidRDefault="00AC7530" w:rsidP="00AC7530">
      <w:bookmarkStart w:id="98" w:name="n83"/>
      <w:bookmarkEnd w:id="98"/>
      <w:r w:rsidRPr="00AC7530">
        <w:t>30. Користувач суб’єкта звітування може користуватися сервісами порталу для суб’єктів звітування після входу до особистого кабінету з використанням КЕП.</w:t>
      </w:r>
    </w:p>
    <w:p w14:paraId="77178558" w14:textId="77777777" w:rsidR="00AC7530" w:rsidRPr="00AC7530" w:rsidRDefault="00AC7530" w:rsidP="00AC7530">
      <w:bookmarkStart w:id="99" w:name="n84"/>
      <w:bookmarkEnd w:id="99"/>
      <w:r w:rsidRPr="00AC7530">
        <w:t>31. Керівник суб’єкта звітування в особистому кабінеті користувача суб’єкта звітування може створювати або редагувати облікові записи користувачів суб’єкта звітування, зокрема, бухгалтера, та аудитора, який підписує аудиторський звіт до фінансової звітності.</w:t>
      </w:r>
    </w:p>
    <w:p w14:paraId="5C637D20" w14:textId="77777777" w:rsidR="00AC7530" w:rsidRPr="00AC7530" w:rsidRDefault="00AC7530" w:rsidP="00AC7530">
      <w:bookmarkStart w:id="100" w:name="n85"/>
      <w:bookmarkEnd w:id="100"/>
      <w:r w:rsidRPr="00AC7530">
        <w:rPr>
          <w:b/>
          <w:bCs/>
        </w:rPr>
        <w:t>V. Процедура подання фінансової звітності у форматі XBRL до ЦЗФЗ</w:t>
      </w:r>
    </w:p>
    <w:p w14:paraId="6FC40DB6" w14:textId="77777777" w:rsidR="00AC7530" w:rsidRPr="00AC7530" w:rsidRDefault="00AC7530" w:rsidP="00AC7530">
      <w:bookmarkStart w:id="101" w:name="n86"/>
      <w:bookmarkEnd w:id="101"/>
      <w:r w:rsidRPr="00AC7530">
        <w:t>32. Уповноважений підрозділ НКЦПФР забезпечує можливість подання суб’єктом звітування фінансової звітності шляхом створення відповідних запитів на подання фінансової звітності:</w:t>
      </w:r>
    </w:p>
    <w:p w14:paraId="4F4EFE32" w14:textId="77777777" w:rsidR="00AC7530" w:rsidRPr="00AC7530" w:rsidRDefault="00AC7530" w:rsidP="00AC7530">
      <w:bookmarkStart w:id="102" w:name="n87"/>
      <w:bookmarkEnd w:id="102"/>
      <w:r w:rsidRPr="00AC7530">
        <w:t>після створення облікового запису суб’єкта звітування;</w:t>
      </w:r>
    </w:p>
    <w:p w14:paraId="247AA067" w14:textId="77777777" w:rsidR="00AC7530" w:rsidRPr="00AC7530" w:rsidRDefault="00AC7530" w:rsidP="00AC7530">
      <w:bookmarkStart w:id="103" w:name="n88"/>
      <w:bookmarkEnd w:id="103"/>
      <w:r w:rsidRPr="00AC7530">
        <w:t>після оновлення та оприлюднення таксономії фінансової звітності у форматі XBRL;</w:t>
      </w:r>
    </w:p>
    <w:p w14:paraId="0F6859E6" w14:textId="77777777" w:rsidR="00AC7530" w:rsidRPr="00AC7530" w:rsidRDefault="00AC7530" w:rsidP="00AC7530">
      <w:bookmarkStart w:id="104" w:name="n89"/>
      <w:bookmarkEnd w:id="104"/>
      <w:r w:rsidRPr="00AC7530">
        <w:t>після надходження від суб’єкта звітування запиту про повторне надсилання фінансової звітності;</w:t>
      </w:r>
    </w:p>
    <w:p w14:paraId="314D9529" w14:textId="77777777" w:rsidR="00AC7530" w:rsidRPr="00AC7530" w:rsidRDefault="00AC7530" w:rsidP="00AC7530">
      <w:bookmarkStart w:id="105" w:name="n132"/>
      <w:bookmarkEnd w:id="105"/>
      <w:r w:rsidRPr="00AC7530">
        <w:t>після надходження від суб’єкта звітування обґрунтованого запиту щодо необхідності подання фінансової звітності за інший звітний період, зокрема, відмінний від річного та проміжного.</w:t>
      </w:r>
    </w:p>
    <w:p w14:paraId="0860201D" w14:textId="77777777" w:rsidR="00AC7530" w:rsidRPr="00AC7530" w:rsidRDefault="00AC7530" w:rsidP="00AC7530">
      <w:bookmarkStart w:id="106" w:name="n133"/>
      <w:bookmarkEnd w:id="106"/>
      <w:r w:rsidRPr="00AC7530">
        <w:rPr>
          <w:i/>
          <w:iCs/>
        </w:rPr>
        <w:lastRenderedPageBreak/>
        <w:t>{Пункт 32 розділу V доповнено новим абзацом згідно з Рішенням Національної комісії з цінних паперів та фондового ринку </w:t>
      </w:r>
      <w:hyperlink r:id="rId29" w:anchor="n40" w:tgtFrame="_blank" w:history="1">
        <w:r w:rsidRPr="00AC7530">
          <w:rPr>
            <w:rStyle w:val="ae"/>
            <w:i/>
            <w:iCs/>
          </w:rPr>
          <w:t>№ 36/21/4172/К03 від 16.04.2026</w:t>
        </w:r>
      </w:hyperlink>
      <w:r w:rsidRPr="00AC7530">
        <w:rPr>
          <w:i/>
          <w:iCs/>
        </w:rPr>
        <w:t>}</w:t>
      </w:r>
    </w:p>
    <w:p w14:paraId="6ABCA052" w14:textId="77777777" w:rsidR="00AC7530" w:rsidRPr="00AC7530" w:rsidRDefault="00AC7530" w:rsidP="00AC7530">
      <w:bookmarkStart w:id="107" w:name="n90"/>
      <w:bookmarkEnd w:id="107"/>
      <w:r w:rsidRPr="00AC7530">
        <w:t>33. Кожен запит на подання фінансової звітності реєструється в базі даних ЦЗФЗ, з фіксуванням дати та часу його створення, та має відповідний ідентифікатор.</w:t>
      </w:r>
    </w:p>
    <w:p w14:paraId="615F54EF" w14:textId="77777777" w:rsidR="00AC7530" w:rsidRPr="00AC7530" w:rsidRDefault="00AC7530" w:rsidP="00AC7530">
      <w:bookmarkStart w:id="108" w:name="n91"/>
      <w:bookmarkEnd w:id="108"/>
      <w:r w:rsidRPr="00AC7530">
        <w:t>34. Уся фінансова звітність, яку суб’єкту звітування необхідно подати до ЦЗФЗ, відображається та завантажується в розділі «Чернетки звітів» особистого кабінету користувача суб’єкта звітування окремо по кожному запиту.</w:t>
      </w:r>
    </w:p>
    <w:p w14:paraId="214A4B4A" w14:textId="77777777" w:rsidR="00AC7530" w:rsidRPr="00AC7530" w:rsidRDefault="00AC7530" w:rsidP="00AC7530">
      <w:bookmarkStart w:id="109" w:name="n92"/>
      <w:bookmarkEnd w:id="109"/>
      <w:r w:rsidRPr="00AC7530">
        <w:t>35. При поданні (завантаженні електронного файлу) фінансової звітності відбувається перевірка:</w:t>
      </w:r>
    </w:p>
    <w:p w14:paraId="3A371007" w14:textId="77777777" w:rsidR="00AC7530" w:rsidRPr="00AC7530" w:rsidRDefault="00AC7530" w:rsidP="00AC7530">
      <w:bookmarkStart w:id="110" w:name="n93"/>
      <w:bookmarkEnd w:id="110"/>
      <w:r w:rsidRPr="00AC7530">
        <w:t>підписів КЕП;</w:t>
      </w:r>
    </w:p>
    <w:p w14:paraId="6D6EB495" w14:textId="77777777" w:rsidR="00AC7530" w:rsidRPr="00AC7530" w:rsidRDefault="00AC7530" w:rsidP="00AC7530">
      <w:bookmarkStart w:id="111" w:name="n94"/>
      <w:bookmarkEnd w:id="111"/>
      <w:r w:rsidRPr="00AC7530">
        <w:t>перевірка фінансової звітності у форматі XBRL, складеної на основі таксономії фінансової звітності у форматі XBRL, на відповідність синтаксису електронного формату (далі - валідація).</w:t>
      </w:r>
    </w:p>
    <w:p w14:paraId="4B12A260" w14:textId="77777777" w:rsidR="00AC7530" w:rsidRPr="00AC7530" w:rsidRDefault="00AC7530" w:rsidP="00AC7530">
      <w:bookmarkStart w:id="112" w:name="n95"/>
      <w:bookmarkEnd w:id="112"/>
      <w:r w:rsidRPr="00AC7530">
        <w:t>36. У разі успішної перевірки підписів КЕП та валідації фінансової звітності:</w:t>
      </w:r>
    </w:p>
    <w:p w14:paraId="24EC2C98" w14:textId="77777777" w:rsidR="00AC7530" w:rsidRPr="00AC7530" w:rsidRDefault="00AC7530" w:rsidP="00AC7530">
      <w:bookmarkStart w:id="113" w:name="n96"/>
      <w:bookmarkEnd w:id="113"/>
      <w:r w:rsidRPr="00AC7530">
        <w:t>фінансова звітність автоматично приймається ЦЗФЗ та вважається поданою суб’єктом звітування;</w:t>
      </w:r>
    </w:p>
    <w:p w14:paraId="13779664" w14:textId="77777777" w:rsidR="00AC7530" w:rsidRPr="00AC7530" w:rsidRDefault="00AC7530" w:rsidP="00AC7530">
      <w:bookmarkStart w:id="114" w:name="n97"/>
      <w:bookmarkEnd w:id="114"/>
      <w:r w:rsidRPr="00AC7530">
        <w:t>на електронну пошту користувача суб’єкта звітування надсилається повідомлення про успішне подання фінансової звітності до ЦЗФЗ;</w:t>
      </w:r>
    </w:p>
    <w:p w14:paraId="6DD145A1" w14:textId="77777777" w:rsidR="00AC7530" w:rsidRPr="00AC7530" w:rsidRDefault="00AC7530" w:rsidP="00AC7530">
      <w:bookmarkStart w:id="115" w:name="n98"/>
      <w:bookmarkEnd w:id="115"/>
      <w:r w:rsidRPr="00AC7530">
        <w:t>фінансова звітність відображається у переліку поданих звітів на сторінці «Історія надсилань» в особистому кабінеті користувача суб’єкта звітування;</w:t>
      </w:r>
    </w:p>
    <w:p w14:paraId="10692063" w14:textId="77777777" w:rsidR="00AC7530" w:rsidRPr="00AC7530" w:rsidRDefault="00AC7530" w:rsidP="00AC7530">
      <w:bookmarkStart w:id="116" w:name="n99"/>
      <w:bookmarkEnd w:id="116"/>
      <w:r w:rsidRPr="00AC7530">
        <w:t>якщо фінансова звітність є публічною, автоматично відбувається її розкриття на порталі розкриття фінансової звітності.</w:t>
      </w:r>
    </w:p>
    <w:p w14:paraId="2C0C22D9" w14:textId="77777777" w:rsidR="00AC7530" w:rsidRPr="00AC7530" w:rsidRDefault="00AC7530" w:rsidP="00AC7530">
      <w:bookmarkStart w:id="117" w:name="n100"/>
      <w:bookmarkEnd w:id="117"/>
      <w:r w:rsidRPr="00AC7530">
        <w:t>37. Якщо фінансова звітність не пройшла перевірку КЕП та валідацію, її подання не відбувається. При цьому на електронну пошту користувача суб’єкта звітування надсилається повідомлення про наявність помилок у фінансовій звітності. Інформація про помилки відображається в особистому кабінеті користувача суб’єкта звітування.</w:t>
      </w:r>
    </w:p>
    <w:p w14:paraId="68A1B11A" w14:textId="77777777" w:rsidR="00AC7530" w:rsidRPr="00AC7530" w:rsidRDefault="00AC7530" w:rsidP="00AC7530">
      <w:bookmarkStart w:id="118" w:name="n101"/>
      <w:bookmarkEnd w:id="118"/>
      <w:r w:rsidRPr="00AC7530">
        <w:t>38. Після усунення користувачем помилок, виявлених при перевірці КЕП та валідації, така фінансова звітність повинна бути подана до ЦЗФЗ повторно.</w:t>
      </w:r>
    </w:p>
    <w:p w14:paraId="1E141D38" w14:textId="77777777" w:rsidR="00AC7530" w:rsidRPr="00AC7530" w:rsidRDefault="00AC7530" w:rsidP="00AC7530">
      <w:bookmarkStart w:id="119" w:name="n102"/>
      <w:bookmarkEnd w:id="119"/>
      <w:r w:rsidRPr="00AC7530">
        <w:t>39. Вся подана суб’єктом звітування фінансова звітність відображається на сторінці «Історія надсилань» в особистому кабінеті користувача суб’єкта звітування.</w:t>
      </w:r>
    </w:p>
    <w:p w14:paraId="04B1C0F8" w14:textId="77777777" w:rsidR="00AC7530" w:rsidRPr="00AC7530" w:rsidRDefault="00AC7530" w:rsidP="00AC7530">
      <w:bookmarkStart w:id="120" w:name="n103"/>
      <w:bookmarkEnd w:id="120"/>
      <w:r w:rsidRPr="00AC7530">
        <w:t>40. Суб’єкт звітування за необхідності, у разі виявлення помилок у поданому звіті, ініціює повторне надсилання фінансової звітності. Для цього користувач суб’єкта звітування має створити відповідний запит в особистому кабінеті.</w:t>
      </w:r>
    </w:p>
    <w:p w14:paraId="3244927B" w14:textId="77777777" w:rsidR="00AC7530" w:rsidRPr="00AC7530" w:rsidRDefault="00AC7530" w:rsidP="00AC7530">
      <w:bookmarkStart w:id="121" w:name="n104"/>
      <w:bookmarkEnd w:id="121"/>
      <w:r w:rsidRPr="00AC7530">
        <w:t>41. Після схвалення уповноваженим підрозділом НКЦПФР запиту про повторне надсилання фінансової звітності, відповідна фінансова звітність відображається у розділі «Чернетки звітів» особистого кабінету користувача суб’єкта звітування зі зміненим номером її редакції. На електронну пошту користувача суб’єкта звітування надсилається повідомлення про можливість подання оновленої фінансової звітності до ЦЗФЗ.</w:t>
      </w:r>
    </w:p>
    <w:p w14:paraId="0BB44EDB" w14:textId="77777777" w:rsidR="00AC7530" w:rsidRPr="00AC7530" w:rsidRDefault="00AC7530" w:rsidP="00AC7530">
      <w:bookmarkStart w:id="122" w:name="n105"/>
      <w:bookmarkEnd w:id="122"/>
      <w:r w:rsidRPr="00AC7530">
        <w:t>42. Раніше подана фінансова звітність, запит на повторне надсилання якої схвалено, не відображається на сторінці «Історія надсилань» в особистому кабінеті користувача суб’єкта звітування, але зберігається в інформаційних системах ЦЗФЗ як така, що втратила чинність, з метою забезпечення простежуваності та обліку поданих звітів.</w:t>
      </w:r>
    </w:p>
    <w:p w14:paraId="1F41D6B1" w14:textId="77777777" w:rsidR="00AC7530" w:rsidRPr="00AC7530" w:rsidRDefault="00AC7530" w:rsidP="00AC7530">
      <w:bookmarkStart w:id="123" w:name="n135"/>
      <w:bookmarkEnd w:id="123"/>
      <w:r w:rsidRPr="00AC7530">
        <w:lastRenderedPageBreak/>
        <w:t>Така фінансова звітність вважається не поданою до ЦЗФЗ до моменту  повторного подання (завантаження електронного файлу) уточненої фінансової звітності до ЦЗФЗ користувачем суб’єкта звітування.</w:t>
      </w:r>
    </w:p>
    <w:p w14:paraId="3BD60171" w14:textId="77777777" w:rsidR="00AC7530" w:rsidRPr="00AC7530" w:rsidRDefault="00AC7530" w:rsidP="00AC7530">
      <w:bookmarkStart w:id="124" w:name="n136"/>
      <w:bookmarkEnd w:id="124"/>
      <w:r w:rsidRPr="00AC7530">
        <w:rPr>
          <w:i/>
          <w:iCs/>
        </w:rPr>
        <w:t>{Пункт 42 розділу V в редакції Рішення Національної комісії з цінних паперів та фондового ринку </w:t>
      </w:r>
      <w:hyperlink r:id="rId30" w:anchor="n42" w:tgtFrame="_blank" w:history="1">
        <w:r w:rsidRPr="00AC7530">
          <w:rPr>
            <w:rStyle w:val="ae"/>
            <w:i/>
            <w:iCs/>
          </w:rPr>
          <w:t>№ 36/21/4172/К03 від 16.04.2026</w:t>
        </w:r>
      </w:hyperlink>
      <w:r w:rsidRPr="00AC7530">
        <w:rPr>
          <w:i/>
          <w:iCs/>
        </w:rPr>
        <w:t>}</w:t>
      </w:r>
    </w:p>
    <w:p w14:paraId="1C022E49" w14:textId="77777777" w:rsidR="00AC7530" w:rsidRPr="00AC7530" w:rsidRDefault="00AC7530" w:rsidP="00AC7530">
      <w:bookmarkStart w:id="125" w:name="n137"/>
      <w:bookmarkEnd w:id="125"/>
      <w:r w:rsidRPr="00AC7530">
        <w:rPr>
          <w:b/>
          <w:bCs/>
        </w:rPr>
        <w:t>VI. Особливості процедури розкриття фінансової звітності за період, відмінний від річного та проміжного</w:t>
      </w:r>
    </w:p>
    <w:p w14:paraId="1AB65F05" w14:textId="77777777" w:rsidR="00AC7530" w:rsidRPr="00AC7530" w:rsidRDefault="00AC7530" w:rsidP="00AC7530">
      <w:bookmarkStart w:id="126" w:name="n138"/>
      <w:bookmarkEnd w:id="126"/>
      <w:r w:rsidRPr="00AC7530">
        <w:t>43. У разі необхідності подання фінансової звітності за звітний період, відмінний від річного та проміжного, відповідно до вимог законодавства (у складі пакету документів для отримання адміністративної послуги, складання ліквідаційної фінансової звітності тощо) суб’єкт звітування має надіслати на електронну адресу ЦЗФЗ xbrl.registration@nssmc.gov.ua заявку на створення запиту на подання фінансової звітності за формою, наведеною у </w:t>
      </w:r>
      <w:hyperlink r:id="rId31" w:anchor="n192" w:history="1">
        <w:r w:rsidRPr="00AC7530">
          <w:rPr>
            <w:rStyle w:val="ae"/>
          </w:rPr>
          <w:t>додатку 2</w:t>
        </w:r>
      </w:hyperlink>
      <w:r w:rsidRPr="00AC7530">
        <w:t>.</w:t>
      </w:r>
    </w:p>
    <w:p w14:paraId="6167F4A4" w14:textId="77777777" w:rsidR="00AC7530" w:rsidRPr="00AC7530" w:rsidRDefault="00AC7530" w:rsidP="00AC7530">
      <w:bookmarkStart w:id="127" w:name="n139"/>
      <w:bookmarkEnd w:id="127"/>
      <w:r w:rsidRPr="00AC7530">
        <w:t>44. Уповноважений підрозділ НКЦПФР забезпечує обробку такої заявки суб’єкта звітування протягом трьох робочих днів з дня її надходження та створює відповідний запит на подання фінансової звітності.</w:t>
      </w:r>
    </w:p>
    <w:p w14:paraId="6C212FC3" w14:textId="77777777" w:rsidR="00AC7530" w:rsidRPr="00AC7530" w:rsidRDefault="00AC7530" w:rsidP="00AC7530">
      <w:bookmarkStart w:id="128" w:name="n140"/>
      <w:bookmarkEnd w:id="128"/>
      <w:r w:rsidRPr="00AC7530">
        <w:t>45. Подальша процедура подання фінансової звітності здійснюється відповідно до пунктів 33-42 розділу V.</w:t>
      </w:r>
    </w:p>
    <w:p w14:paraId="5032332A" w14:textId="77777777" w:rsidR="00AC7530" w:rsidRPr="00AC7530" w:rsidRDefault="00AC7530" w:rsidP="00AC7530">
      <w:bookmarkStart w:id="129" w:name="n155"/>
      <w:bookmarkEnd w:id="129"/>
      <w:r w:rsidRPr="00AC7530">
        <w:rPr>
          <w:i/>
          <w:iCs/>
        </w:rPr>
        <w:t>{Вимоги доповнено розділом VI згідно з Рішенням Національної комісії з цінних паперів та фондового ринку </w:t>
      </w:r>
      <w:hyperlink r:id="rId32" w:anchor="n45" w:tgtFrame="_blank" w:history="1">
        <w:r w:rsidRPr="00AC7530">
          <w:rPr>
            <w:rStyle w:val="ae"/>
            <w:i/>
            <w:iCs/>
          </w:rPr>
          <w:t>№ 36/21/4172/К03 від 16.04.2026</w:t>
        </w:r>
      </w:hyperlink>
      <w:r w:rsidRPr="00AC7530">
        <w:rPr>
          <w:i/>
          <w:iCs/>
        </w:rPr>
        <w:t>}</w:t>
      </w:r>
    </w:p>
    <w:p w14:paraId="30E1BEAE" w14:textId="77777777" w:rsidR="00AC7530" w:rsidRPr="00AC7530" w:rsidRDefault="00AC7530" w:rsidP="00AC7530">
      <w:bookmarkStart w:id="130" w:name="n141"/>
      <w:bookmarkEnd w:id="130"/>
      <w:r w:rsidRPr="00AC7530">
        <w:rPr>
          <w:b/>
          <w:bCs/>
        </w:rPr>
        <w:t>VII. Процедура деактивації облікового запису суб’єкта звітування</w:t>
      </w:r>
    </w:p>
    <w:p w14:paraId="5F5CECAE" w14:textId="77777777" w:rsidR="00AC7530" w:rsidRPr="00AC7530" w:rsidRDefault="00AC7530" w:rsidP="00AC7530">
      <w:bookmarkStart w:id="131" w:name="n142"/>
      <w:bookmarkEnd w:id="131"/>
      <w:r w:rsidRPr="00AC7530">
        <w:t>46. Деактивація облікового запису суб’єкта звітування - це встановлення для облікового запису в ЦЗФЗ статусу «неактивний», унаслідок чого:</w:t>
      </w:r>
    </w:p>
    <w:p w14:paraId="0AF0B664" w14:textId="77777777" w:rsidR="00AC7530" w:rsidRPr="00AC7530" w:rsidRDefault="00AC7530" w:rsidP="00AC7530">
      <w:bookmarkStart w:id="132" w:name="n143"/>
      <w:bookmarkEnd w:id="132"/>
      <w:r w:rsidRPr="00AC7530">
        <w:t>блокується доступ користувачів суб’єкта звітування до облікового запису суб’єкта звітування та до функціоналу подання та редагування звітності;</w:t>
      </w:r>
    </w:p>
    <w:p w14:paraId="4F91D260" w14:textId="77777777" w:rsidR="00AC7530" w:rsidRPr="00AC7530" w:rsidRDefault="00AC7530" w:rsidP="00AC7530">
      <w:bookmarkStart w:id="133" w:name="n144"/>
      <w:bookmarkEnd w:id="133"/>
      <w:r w:rsidRPr="00AC7530">
        <w:t>зберігаються всі раніше подані звіти та інформація.</w:t>
      </w:r>
    </w:p>
    <w:p w14:paraId="2840819F" w14:textId="77777777" w:rsidR="00AC7530" w:rsidRPr="00AC7530" w:rsidRDefault="00AC7530" w:rsidP="00AC7530">
      <w:bookmarkStart w:id="134" w:name="n145"/>
      <w:bookmarkEnd w:id="134"/>
      <w:r w:rsidRPr="00AC7530">
        <w:t>47. Деактивація облікового запису суб’єкта звітування в ЦЗФЗ здійснюється уповноваженим підрозділом НКЦПФР на підставі:</w:t>
      </w:r>
    </w:p>
    <w:p w14:paraId="4DB974F2" w14:textId="77777777" w:rsidR="00AC7530" w:rsidRPr="00AC7530" w:rsidRDefault="00AC7530" w:rsidP="00AC7530">
      <w:bookmarkStart w:id="135" w:name="n146"/>
      <w:bookmarkEnd w:id="135"/>
      <w:r w:rsidRPr="00AC7530">
        <w:t>1) отриманого від суб’єкта звітування обґрунтованого звернення про необхідність деактивації;</w:t>
      </w:r>
    </w:p>
    <w:p w14:paraId="5EC84CFE" w14:textId="77777777" w:rsidR="00AC7530" w:rsidRPr="00AC7530" w:rsidRDefault="00AC7530" w:rsidP="00AC7530">
      <w:bookmarkStart w:id="136" w:name="n147"/>
      <w:bookmarkEnd w:id="136"/>
      <w:r w:rsidRPr="00AC7530">
        <w:t>2) виявленої уповноваженим підрозділом НКЦПФР інформації про припинення юридичної особи у Єдиному державному реєстрі юридичних осіб, фізичних осіб - підприємців та громадських формувань.</w:t>
      </w:r>
    </w:p>
    <w:p w14:paraId="453E8763" w14:textId="77777777" w:rsidR="00AC7530" w:rsidRPr="00AC7530" w:rsidRDefault="00AC7530" w:rsidP="00AC7530">
      <w:bookmarkStart w:id="137" w:name="n148"/>
      <w:bookmarkEnd w:id="137"/>
      <w:r w:rsidRPr="00AC7530">
        <w:t>48. Деактивація облікового запису суб’єкта звітування в ЦЗФЗ з підстав, передбачених підпунктом 1 пункту 47 цього розділу, здійснюється уповноваженим підрозділом НКЦПФР за умови одночасної наявності таких підстав:</w:t>
      </w:r>
    </w:p>
    <w:p w14:paraId="0ADCB603" w14:textId="77777777" w:rsidR="00AC7530" w:rsidRPr="00AC7530" w:rsidRDefault="00AC7530" w:rsidP="00AC7530">
      <w:bookmarkStart w:id="138" w:name="n149"/>
      <w:bookmarkEnd w:id="138"/>
      <w:r w:rsidRPr="00AC7530">
        <w:t>наявність підтвердженої інформації від суб’єкта звітування щодо обрання концептуальної основи ведення фінансової звітності відповідно до національних положень (стандартів) бухгалтерського обліку;</w:t>
      </w:r>
    </w:p>
    <w:p w14:paraId="503F4AC9" w14:textId="77777777" w:rsidR="00AC7530" w:rsidRPr="00AC7530" w:rsidRDefault="00AC7530" w:rsidP="00AC7530">
      <w:bookmarkStart w:id="139" w:name="n150"/>
      <w:bookmarkEnd w:id="139"/>
      <w:r w:rsidRPr="00AC7530">
        <w:t>невідповідність суб’єкта звітування вимогам, передбаченим </w:t>
      </w:r>
      <w:hyperlink r:id="rId33" w:anchor="n218" w:tgtFrame="_blank" w:history="1">
        <w:r w:rsidRPr="00AC7530">
          <w:rPr>
            <w:rStyle w:val="ae"/>
          </w:rPr>
          <w:t>статтею 12</w:t>
        </w:r>
      </w:hyperlink>
      <w:hyperlink r:id="rId34" w:anchor="n218" w:tgtFrame="_blank" w:history="1">
        <w:r w:rsidRPr="00AC7530">
          <w:rPr>
            <w:rStyle w:val="ae"/>
            <w:b/>
            <w:bCs/>
            <w:vertAlign w:val="superscript"/>
          </w:rPr>
          <w:t>-1</w:t>
        </w:r>
      </w:hyperlink>
      <w:r w:rsidRPr="00AC7530">
        <w:t> Закону України «Про бухгалтерський облік та фінансову звітність в Україні» та </w:t>
      </w:r>
      <w:hyperlink r:id="rId35" w:anchor="n12" w:tgtFrame="_blank" w:history="1">
        <w:r w:rsidRPr="00AC7530">
          <w:rPr>
            <w:rStyle w:val="ae"/>
          </w:rPr>
          <w:t>Порядком подання фінансової звітності</w:t>
        </w:r>
      </w:hyperlink>
      <w:r w:rsidRPr="00AC7530">
        <w:t>, затвердженим постановою Кабінету Міністрів України від 28 лютого 2000 року № 419;</w:t>
      </w:r>
    </w:p>
    <w:p w14:paraId="2724D59E" w14:textId="77777777" w:rsidR="00AC7530" w:rsidRPr="00AC7530" w:rsidRDefault="00AC7530" w:rsidP="00AC7530">
      <w:bookmarkStart w:id="140" w:name="n151"/>
      <w:bookmarkEnd w:id="140"/>
      <w:r w:rsidRPr="00AC7530">
        <w:lastRenderedPageBreak/>
        <w:t>подання фінансової звітності до ЦЗФЗ за всі звітні періоди, протягом яких суб’єкт звітування мав обов’язок з її подання.</w:t>
      </w:r>
    </w:p>
    <w:p w14:paraId="4B23C4A5" w14:textId="77777777" w:rsidR="00AC7530" w:rsidRPr="00AC7530" w:rsidRDefault="00AC7530" w:rsidP="00AC7530">
      <w:bookmarkStart w:id="141" w:name="n152"/>
      <w:bookmarkEnd w:id="141"/>
      <w:r w:rsidRPr="00AC7530">
        <w:t>49. Уповноважений підрозділ НКЦПФР здійснює деактивацію облікового запису суб’єкта звітування в ЦЗФЗ протягом трьох робочих днів з дня виявлення інформації про припинення юридичної особи або отримання відповідного звернення суб’єкта звітування за наявності підстав, передбачених пунктом 48 цього розділу.</w:t>
      </w:r>
    </w:p>
    <w:p w14:paraId="363BDB43" w14:textId="77777777" w:rsidR="00AC7530" w:rsidRPr="00AC7530" w:rsidRDefault="00AC7530" w:rsidP="00AC7530">
      <w:bookmarkStart w:id="142" w:name="n153"/>
      <w:bookmarkEnd w:id="142"/>
      <w:r w:rsidRPr="00AC7530">
        <w:rPr>
          <w:i/>
          <w:iCs/>
        </w:rPr>
        <w:t>{Вимоги доповнено розділом VII згідно з Рішенням Національної комісії з цінних паперів та фондового ринку </w:t>
      </w:r>
      <w:hyperlink r:id="rId36" w:anchor="n45" w:tgtFrame="_blank" w:history="1">
        <w:r w:rsidRPr="00AC7530">
          <w:rPr>
            <w:rStyle w:val="ae"/>
            <w:i/>
            <w:iCs/>
          </w:rPr>
          <w:t>№ 36/21/4172/К03 від 16.04.2026</w:t>
        </w:r>
      </w:hyperlink>
      <w:r w:rsidRPr="00AC7530">
        <w:rPr>
          <w:i/>
          <w:iCs/>
        </w:rPr>
        <w:t>}</w:t>
      </w:r>
    </w:p>
    <w:p w14:paraId="315773B4" w14:textId="77777777" w:rsidR="00AC7530" w:rsidRPr="00AC7530" w:rsidRDefault="00AC7530" w:rsidP="00AC7530">
      <w:bookmarkStart w:id="143" w:name="n106"/>
      <w:bookmarkEnd w:id="143"/>
      <w:r w:rsidRPr="00AC7530">
        <w:rPr>
          <w:b/>
          <w:bCs/>
        </w:rPr>
        <w:t>VIII. Портал розкриття фінансової звітності</w:t>
      </w:r>
    </w:p>
    <w:p w14:paraId="02FE9C7B" w14:textId="77777777" w:rsidR="00AC7530" w:rsidRPr="00AC7530" w:rsidRDefault="00AC7530" w:rsidP="00AC7530">
      <w:bookmarkStart w:id="144" w:name="n107"/>
      <w:bookmarkEnd w:id="144"/>
      <w:r w:rsidRPr="00AC7530">
        <w:t>50. Подана до ЦЗФЗ фінансова звітність, яка підлягає оприлюдненню, стає загальнодоступною на порталі розкриття фінансової звітності головної сторінки вебсайту https://frs.gov.ua та може бути оприлюднена на інших інформаційних ресурсах.</w:t>
      </w:r>
    </w:p>
    <w:tbl>
      <w:tblPr>
        <w:tblW w:w="5000" w:type="pct"/>
        <w:tblCellMar>
          <w:left w:w="0" w:type="dxa"/>
          <w:right w:w="0" w:type="dxa"/>
        </w:tblCellMar>
        <w:tblLook w:val="04A0" w:firstRow="1" w:lastRow="0" w:firstColumn="1" w:lastColumn="0" w:noHBand="0" w:noVBand="1"/>
      </w:tblPr>
      <w:tblGrid>
        <w:gridCol w:w="5142"/>
        <w:gridCol w:w="4207"/>
      </w:tblGrid>
      <w:tr w:rsidR="00AC7530" w:rsidRPr="00AC7530" w14:paraId="1336D3D7" w14:textId="77777777">
        <w:trPr>
          <w:trHeight w:val="420"/>
        </w:trPr>
        <w:tc>
          <w:tcPr>
            <w:tcW w:w="2750" w:type="pct"/>
            <w:tcBorders>
              <w:top w:val="single" w:sz="2" w:space="0" w:color="auto"/>
              <w:left w:val="single" w:sz="2" w:space="0" w:color="auto"/>
              <w:bottom w:val="single" w:sz="2" w:space="0" w:color="auto"/>
              <w:right w:val="single" w:sz="2" w:space="0" w:color="auto"/>
            </w:tcBorders>
            <w:hideMark/>
          </w:tcPr>
          <w:p w14:paraId="7CC5D739" w14:textId="77777777" w:rsidR="00AC7530" w:rsidRPr="00AC7530" w:rsidRDefault="00AC7530" w:rsidP="00AC7530">
            <w:bookmarkStart w:id="145" w:name="n108"/>
            <w:bookmarkEnd w:id="145"/>
            <w:r w:rsidRPr="00AC7530">
              <w:rPr>
                <w:b/>
                <w:bCs/>
              </w:rPr>
              <w:t>Начальник управління</w:t>
            </w:r>
            <w:r w:rsidRPr="00AC7530">
              <w:br/>
            </w:r>
            <w:r w:rsidRPr="00AC7530">
              <w:rPr>
                <w:b/>
                <w:bCs/>
              </w:rPr>
              <w:t>з питань функціонування центру збору</w:t>
            </w:r>
            <w:r w:rsidRPr="00AC7530">
              <w:br/>
            </w:r>
            <w:r w:rsidRPr="00AC7530">
              <w:rPr>
                <w:b/>
                <w:bCs/>
              </w:rPr>
              <w:t>фінансової звітності у форматі XBRL</w:t>
            </w:r>
          </w:p>
        </w:tc>
        <w:tc>
          <w:tcPr>
            <w:tcW w:w="2250" w:type="pct"/>
            <w:tcBorders>
              <w:top w:val="single" w:sz="2" w:space="0" w:color="auto"/>
              <w:left w:val="single" w:sz="2" w:space="0" w:color="auto"/>
              <w:bottom w:val="single" w:sz="2" w:space="0" w:color="auto"/>
              <w:right w:val="single" w:sz="2" w:space="0" w:color="auto"/>
            </w:tcBorders>
            <w:hideMark/>
          </w:tcPr>
          <w:p w14:paraId="4CDE9CEB" w14:textId="77777777" w:rsidR="00AC7530" w:rsidRPr="00AC7530" w:rsidRDefault="00AC7530" w:rsidP="00AC7530">
            <w:r w:rsidRPr="00AC7530">
              <w:br/>
            </w:r>
            <w:r w:rsidRPr="00AC7530">
              <w:br/>
            </w:r>
            <w:r w:rsidRPr="00AC7530">
              <w:rPr>
                <w:b/>
                <w:bCs/>
              </w:rPr>
              <w:t>Віталій БЕЗКРОВНИЙ</w:t>
            </w:r>
          </w:p>
        </w:tc>
      </w:tr>
    </w:tbl>
    <w:p w14:paraId="3969AB3C" w14:textId="77777777" w:rsidR="00AC7530" w:rsidRPr="00AC7530" w:rsidRDefault="00000000" w:rsidP="00AC7530">
      <w:r>
        <w:pict w14:anchorId="32197B6F">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AC7530" w:rsidRPr="00AC7530" w14:paraId="79A39338" w14:textId="77777777">
        <w:tc>
          <w:tcPr>
            <w:tcW w:w="2250" w:type="pct"/>
            <w:tcBorders>
              <w:top w:val="single" w:sz="2" w:space="0" w:color="auto"/>
              <w:left w:val="single" w:sz="2" w:space="0" w:color="auto"/>
              <w:bottom w:val="single" w:sz="2" w:space="0" w:color="auto"/>
              <w:right w:val="single" w:sz="2" w:space="0" w:color="auto"/>
            </w:tcBorders>
            <w:hideMark/>
          </w:tcPr>
          <w:p w14:paraId="25DAE541" w14:textId="77777777" w:rsidR="00AC7530" w:rsidRPr="00AC7530" w:rsidRDefault="00AC7530" w:rsidP="00AC7530">
            <w:bookmarkStart w:id="146" w:name="n157"/>
            <w:bookmarkStart w:id="147" w:name="n156"/>
            <w:bookmarkEnd w:id="146"/>
            <w:bookmarkEnd w:id="147"/>
          </w:p>
        </w:tc>
        <w:tc>
          <w:tcPr>
            <w:tcW w:w="2000" w:type="pct"/>
            <w:tcBorders>
              <w:top w:val="single" w:sz="2" w:space="0" w:color="auto"/>
              <w:left w:val="single" w:sz="2" w:space="0" w:color="auto"/>
              <w:bottom w:val="single" w:sz="2" w:space="0" w:color="auto"/>
              <w:right w:val="single" w:sz="2" w:space="0" w:color="auto"/>
            </w:tcBorders>
            <w:hideMark/>
          </w:tcPr>
          <w:p w14:paraId="5999BAE4" w14:textId="77777777" w:rsidR="00AC7530" w:rsidRPr="00AC7530" w:rsidRDefault="00AC7530" w:rsidP="00AC7530">
            <w:r w:rsidRPr="00AC7530">
              <w:t>Додаток 1</w:t>
            </w:r>
            <w:r w:rsidRPr="00AC7530">
              <w:br/>
              <w:t>до Вимог до розкриття показників</w:t>
            </w:r>
            <w:r w:rsidRPr="00AC7530">
              <w:br/>
              <w:t>фінансової звітності у форматі XBRL</w:t>
            </w:r>
            <w:r w:rsidRPr="00AC7530">
              <w:br/>
              <w:t>для суб’єктів звітування, що є</w:t>
            </w:r>
            <w:r w:rsidRPr="00AC7530">
              <w:br/>
              <w:t>учасниками ринків капіталу та</w:t>
            </w:r>
            <w:r w:rsidRPr="00AC7530">
              <w:br/>
              <w:t>професійними учасниками</w:t>
            </w:r>
            <w:r w:rsidRPr="00AC7530">
              <w:br/>
              <w:t>організованих товарних ринків</w:t>
            </w:r>
            <w:r w:rsidRPr="00AC7530">
              <w:br/>
              <w:t>(</w:t>
            </w:r>
            <w:hyperlink r:id="rId37" w:anchor="n50" w:history="1">
              <w:r w:rsidRPr="00AC7530">
                <w:rPr>
                  <w:rStyle w:val="ae"/>
                </w:rPr>
                <w:t>пункт 17</w:t>
              </w:r>
            </w:hyperlink>
            <w:r w:rsidRPr="00AC7530">
              <w:t> розділу II)</w:t>
            </w:r>
          </w:p>
        </w:tc>
      </w:tr>
    </w:tbl>
    <w:p w14:paraId="1353B5BF" w14:textId="77777777" w:rsidR="00AC7530" w:rsidRPr="00AC7530" w:rsidRDefault="00AC7530" w:rsidP="00AC7530">
      <w:bookmarkStart w:id="148" w:name="n158"/>
      <w:bookmarkEnd w:id="148"/>
      <w:r w:rsidRPr="00AC7530">
        <w:rPr>
          <w:b/>
          <w:bCs/>
        </w:rPr>
        <w:t>Інформація,</w:t>
      </w:r>
      <w:r w:rsidRPr="00AC7530">
        <w:br/>
      </w:r>
      <w:r w:rsidRPr="00AC7530">
        <w:rPr>
          <w:b/>
          <w:bCs/>
        </w:rPr>
        <w:t>що підлягає розкриттю суб’єктами звітування</w:t>
      </w:r>
    </w:p>
    <w:p w14:paraId="0D70112B" w14:textId="77777777" w:rsidR="00AC7530" w:rsidRPr="00AC7530" w:rsidRDefault="00AC7530" w:rsidP="00AC7530">
      <w:bookmarkStart w:id="149" w:name="n159"/>
      <w:bookmarkEnd w:id="149"/>
      <w:r w:rsidRPr="00AC7530">
        <w:t>1. Професійне судження керівництва суб’єкта звітування, зокрема, визначене обліковою політикою, щодо основних меж (порогів) суттєвості (якісних та кількісних критеріїв) при складанні фінансової звітності для визнання та розкриття окремих її статей - у полі «Розкриття суттєвої інформації про облікову політику [текстовий блок]» «[800610] Примітки - Перелік суттєвої інформації про облікову політику».</w:t>
      </w:r>
    </w:p>
    <w:p w14:paraId="1F4F5B9D" w14:textId="77777777" w:rsidR="00AC7530" w:rsidRPr="00AC7530" w:rsidRDefault="00AC7530" w:rsidP="00AC7530">
      <w:bookmarkStart w:id="150" w:name="n160"/>
      <w:bookmarkEnd w:id="150"/>
      <w:r w:rsidRPr="00AC7530">
        <w:t>2. Доходи та витрати із зазначенням усіх відповідних статей та аналітичних показників, що стосуються діяльності суб’єкта звітування, відповідно до «[800200] Примітки - Аналіз доходів та витрат».</w:t>
      </w:r>
    </w:p>
    <w:p w14:paraId="427A6A54" w14:textId="77777777" w:rsidR="00AC7530" w:rsidRPr="00AC7530" w:rsidRDefault="00AC7530" w:rsidP="00AC7530">
      <w:bookmarkStart w:id="151" w:name="n161"/>
      <w:bookmarkEnd w:id="151"/>
      <w:r w:rsidRPr="00AC7530">
        <w:t>3. Інформація щодо активів, зобов’язань та власного капіталу із зазначенням усіх відповідних статей та аналітичних показників, що стосуються діяльності суб’єкта звітування,  відповідно до «[800100] Примітки - Підкласифікації активів, зобов’язань та власного капіталу».</w:t>
      </w:r>
    </w:p>
    <w:p w14:paraId="6D4DFF9D" w14:textId="77777777" w:rsidR="00AC7530" w:rsidRPr="00AC7530" w:rsidRDefault="00AC7530" w:rsidP="00AC7530">
      <w:bookmarkStart w:id="152" w:name="n162"/>
      <w:bookmarkEnd w:id="152"/>
      <w:r w:rsidRPr="00AC7530">
        <w:t>4. Деталізована інформація про:</w:t>
      </w:r>
    </w:p>
    <w:p w14:paraId="645427D6" w14:textId="77777777" w:rsidR="00AC7530" w:rsidRPr="00AC7530" w:rsidRDefault="00AC7530" w:rsidP="00AC7530">
      <w:bookmarkStart w:id="153" w:name="n163"/>
      <w:bookmarkEnd w:id="153"/>
      <w:r w:rsidRPr="00AC7530">
        <w:t>4.1. видані позики</w:t>
      </w:r>
      <w:r w:rsidRPr="00AC7530">
        <w:rPr>
          <w:b/>
          <w:bCs/>
          <w:vertAlign w:val="superscript"/>
        </w:rPr>
        <w:t>-1</w:t>
      </w:r>
      <w:r w:rsidRPr="00AC7530">
        <w:t>;</w:t>
      </w:r>
    </w:p>
    <w:p w14:paraId="0B893C0D" w14:textId="77777777" w:rsidR="00AC7530" w:rsidRPr="00AC7530" w:rsidRDefault="00AC7530" w:rsidP="00AC7530">
      <w:bookmarkStart w:id="154" w:name="n164"/>
      <w:bookmarkEnd w:id="154"/>
      <w:r w:rsidRPr="00AC7530">
        <w:t>4.2. витрати на навчання, консультації, рекламу та маркетинг</w:t>
      </w:r>
      <w:r w:rsidRPr="00AC7530">
        <w:rPr>
          <w:b/>
          <w:bCs/>
          <w:vertAlign w:val="superscript"/>
        </w:rPr>
        <w:t>-1</w:t>
      </w:r>
      <w:r w:rsidRPr="00AC7530">
        <w:t>;</w:t>
      </w:r>
    </w:p>
    <w:p w14:paraId="2AD16324" w14:textId="77777777" w:rsidR="00AC7530" w:rsidRPr="00AC7530" w:rsidRDefault="00AC7530" w:rsidP="00AC7530">
      <w:bookmarkStart w:id="155" w:name="n165"/>
      <w:bookmarkEnd w:id="155"/>
      <w:r w:rsidRPr="00AC7530">
        <w:t>4.3. виплати поворотної та/або безповоротної фінансової допомоги</w:t>
      </w:r>
      <w:r w:rsidRPr="00AC7530">
        <w:rPr>
          <w:b/>
          <w:bCs/>
          <w:vertAlign w:val="superscript"/>
        </w:rPr>
        <w:t>-1</w:t>
      </w:r>
      <w:r w:rsidRPr="00AC7530">
        <w:t>;</w:t>
      </w:r>
    </w:p>
    <w:p w14:paraId="3DD51A32" w14:textId="77777777" w:rsidR="00AC7530" w:rsidRPr="00AC7530" w:rsidRDefault="00AC7530" w:rsidP="00AC7530">
      <w:bookmarkStart w:id="156" w:name="n166"/>
      <w:bookmarkEnd w:id="156"/>
      <w:r w:rsidRPr="00AC7530">
        <w:lastRenderedPageBreak/>
        <w:t>4.4. доходи від навчання, консультацій, реклами та маркетингу</w:t>
      </w:r>
      <w:r w:rsidRPr="00AC7530">
        <w:rPr>
          <w:b/>
          <w:bCs/>
          <w:vertAlign w:val="superscript"/>
        </w:rPr>
        <w:t>-1</w:t>
      </w:r>
      <w:r w:rsidRPr="00AC7530">
        <w:t>;</w:t>
      </w:r>
    </w:p>
    <w:p w14:paraId="335AB9E5" w14:textId="77777777" w:rsidR="00AC7530" w:rsidRPr="00AC7530" w:rsidRDefault="00AC7530" w:rsidP="00AC7530">
      <w:bookmarkStart w:id="157" w:name="n167"/>
      <w:bookmarkEnd w:id="157"/>
      <w:r w:rsidRPr="00AC7530">
        <w:t>4.5. отримані позики</w:t>
      </w:r>
      <w:r w:rsidRPr="00AC7530">
        <w:rPr>
          <w:b/>
          <w:bCs/>
          <w:vertAlign w:val="superscript"/>
        </w:rPr>
        <w:t>-1</w:t>
      </w:r>
      <w:r w:rsidRPr="00AC7530">
        <w:t>;</w:t>
      </w:r>
    </w:p>
    <w:p w14:paraId="3A9A55D7" w14:textId="77777777" w:rsidR="00AC7530" w:rsidRPr="00AC7530" w:rsidRDefault="00AC7530" w:rsidP="00AC7530">
      <w:bookmarkStart w:id="158" w:name="n168"/>
      <w:bookmarkEnd w:id="158"/>
      <w:r w:rsidRPr="00AC7530">
        <w:t>4.6. доходи від переуступки прав вимоги або боргів</w:t>
      </w:r>
      <w:r w:rsidRPr="00AC7530">
        <w:rPr>
          <w:b/>
          <w:bCs/>
          <w:vertAlign w:val="superscript"/>
        </w:rPr>
        <w:t>-1</w:t>
      </w:r>
      <w:r w:rsidRPr="00AC7530">
        <w:t>;</w:t>
      </w:r>
    </w:p>
    <w:p w14:paraId="4DDBF62A" w14:textId="77777777" w:rsidR="00AC7530" w:rsidRPr="00AC7530" w:rsidRDefault="00AC7530" w:rsidP="00AC7530">
      <w:bookmarkStart w:id="159" w:name="n169"/>
      <w:bookmarkEnd w:id="159"/>
      <w:r w:rsidRPr="00AC7530">
        <w:t>4.7. фінансові інвестиції (вид, найменування та ІКЮО емітента, кількість, відсоток володіння, балансова вартість, міжнародний код ISIN за наявності);</w:t>
      </w:r>
    </w:p>
    <w:p w14:paraId="0A7F9A07" w14:textId="77777777" w:rsidR="00AC7530" w:rsidRPr="00AC7530" w:rsidRDefault="00AC7530" w:rsidP="00AC7530">
      <w:bookmarkStart w:id="160" w:name="n170"/>
      <w:bookmarkEnd w:id="160"/>
      <w:r w:rsidRPr="00AC7530">
        <w:t>4.8. дебіторську заборгованість (найменування та ІКЮО контрагента, предмет заборгованості, балансова (амортизована) вартість, дата первісного визнання, строк погашення, кількість змін (модифікацій) договірних умов, у тому числі пролонгацій, сума простроченої заборгованості, стадія знецінення відповідно до вимог МСФЗ 9 (Stage 1 / Stage 2 / Stage 3) або інша застосована суб’єктом звітування система оцінки кредитного ризику, розмір резерву під очікувані кредитні збитки, інформація про реструктуризацію (модифікацію) заборгованості, сума списаної заборгованості);</w:t>
      </w:r>
    </w:p>
    <w:p w14:paraId="5C44C02E" w14:textId="77777777" w:rsidR="00AC7530" w:rsidRPr="00AC7530" w:rsidRDefault="00AC7530" w:rsidP="00AC7530">
      <w:bookmarkStart w:id="161" w:name="n171"/>
      <w:bookmarkEnd w:id="161"/>
      <w:r w:rsidRPr="00AC7530">
        <w:t>4.9. фінансові активи, на які накладено арешт, блокування та будь-яке обтяження за ухвалою та/або рішенням суду та/або виконавчим провадженням</w:t>
      </w:r>
      <w:r w:rsidRPr="00AC7530">
        <w:rPr>
          <w:b/>
          <w:bCs/>
          <w:vertAlign w:val="superscript"/>
        </w:rPr>
        <w:t>-1</w:t>
      </w:r>
      <w:r w:rsidRPr="00AC7530">
        <w:t>.</w:t>
      </w:r>
    </w:p>
    <w:p w14:paraId="548D830B" w14:textId="77777777" w:rsidR="00AC7530" w:rsidRPr="00AC7530" w:rsidRDefault="00AC7530" w:rsidP="00AC7530">
      <w:bookmarkStart w:id="162" w:name="n172"/>
      <w:bookmarkEnd w:id="162"/>
      <w:r w:rsidRPr="00AC7530">
        <w:t>Кожен підпункт 4.1. - 4.6. розкривається щодо істотних умов договору у разі, якщо сукупний розмір усіх відповідних операцій згідно цього підпункту за звітний період перевищує 25 відсотків загальної суми активів</w:t>
      </w:r>
      <w:r w:rsidRPr="00AC7530">
        <w:rPr>
          <w:b/>
          <w:bCs/>
          <w:vertAlign w:val="superscript"/>
        </w:rPr>
        <w:t>-2</w:t>
      </w:r>
      <w:r w:rsidRPr="00AC7530">
        <w:t>, у відповідному полі фінансовій звітності:</w:t>
      </w:r>
    </w:p>
    <w:p w14:paraId="53E93122" w14:textId="77777777" w:rsidR="00AC7530" w:rsidRPr="00AC7530" w:rsidRDefault="00AC7530" w:rsidP="00AC7530">
      <w:bookmarkStart w:id="163" w:name="n173"/>
      <w:bookmarkEnd w:id="163"/>
      <w:r w:rsidRPr="00AC7530">
        <w:rPr>
          <w:b/>
          <w:bCs/>
        </w:rPr>
        <w:t>• </w:t>
      </w:r>
      <w:r w:rsidRPr="00AC7530">
        <w:t>підпункти 4.1., 4.3., 4.4., 4.6. - у полі «Розкриття додаткової інформації [текстовий блок]» «[880000] Примітки - Додаткова інформація»;</w:t>
      </w:r>
    </w:p>
    <w:p w14:paraId="340ED406" w14:textId="77777777" w:rsidR="00AC7530" w:rsidRPr="00AC7530" w:rsidRDefault="00AC7530" w:rsidP="00AC7530">
      <w:bookmarkStart w:id="164" w:name="n174"/>
      <w:bookmarkEnd w:id="164"/>
      <w:r w:rsidRPr="00AC7530">
        <w:rPr>
          <w:b/>
          <w:bCs/>
        </w:rPr>
        <w:t>• </w:t>
      </w:r>
      <w:r w:rsidRPr="00AC7530">
        <w:t>підпункт 4.2. - у полі «Розкриття інформації про віднесення витрат за характером до їхньої функції [текстовий блок]» «[800200] Примітки - Аналіз доходів та витрат»;</w:t>
      </w:r>
    </w:p>
    <w:p w14:paraId="37E8A885" w14:textId="77777777" w:rsidR="00AC7530" w:rsidRPr="00AC7530" w:rsidRDefault="00AC7530" w:rsidP="00AC7530">
      <w:bookmarkStart w:id="165" w:name="n175"/>
      <w:bookmarkEnd w:id="165"/>
      <w:r w:rsidRPr="00AC7530">
        <w:rPr>
          <w:b/>
          <w:bCs/>
        </w:rPr>
        <w:t>• </w:t>
      </w:r>
      <w:r w:rsidRPr="00AC7530">
        <w:t>підпункт 4.5. - у полі «Розкриття детальної інформації про запозичення [текстовий блок]» «[822390-18] Примітки - Аналіз чутливості».</w:t>
      </w:r>
    </w:p>
    <w:p w14:paraId="7395D4F3" w14:textId="77777777" w:rsidR="00AC7530" w:rsidRPr="00AC7530" w:rsidRDefault="00AC7530" w:rsidP="00AC7530">
      <w:bookmarkStart w:id="166" w:name="n176"/>
      <w:bookmarkEnd w:id="166"/>
      <w:r w:rsidRPr="00AC7530">
        <w:t>Кожен підпункт 4.7. - 4.8. розкривається у разі, якщо загальний розмір балансової вартості активів згідно цього підпункту становить більше 10% загальної суми активів</w:t>
      </w:r>
      <w:r w:rsidRPr="00AC7530">
        <w:rPr>
          <w:b/>
          <w:bCs/>
          <w:vertAlign w:val="superscript"/>
        </w:rPr>
        <w:t>-2</w:t>
      </w:r>
      <w:r w:rsidRPr="00AC7530">
        <w:t>, щодо п’яти найбільших емітентів за сумою фінансових інвестицій та п’яти найбільших контрагентів за сумою дебіторської заборгованості - у полі «Розкриття інформації про фінансові активи» [текстовий блок]» «[822390-01] Примітки - Фінансові активи».</w:t>
      </w:r>
    </w:p>
    <w:p w14:paraId="561757ED" w14:textId="77777777" w:rsidR="00AC7530" w:rsidRPr="00AC7530" w:rsidRDefault="00AC7530" w:rsidP="00AC7530">
      <w:bookmarkStart w:id="167" w:name="n177"/>
      <w:bookmarkEnd w:id="167"/>
      <w:r w:rsidRPr="00AC7530">
        <w:t>Підпункт 4.9. розкривається у полі «Розкриття інформації про фінансові активи» [текстовий блок]» «[822390-01] Примітки - Фінансові активи».</w:t>
      </w:r>
    </w:p>
    <w:p w14:paraId="5894FD6E" w14:textId="77777777" w:rsidR="00AC7530" w:rsidRPr="00AC7530" w:rsidRDefault="00AC7530" w:rsidP="00AC7530">
      <w:bookmarkStart w:id="168" w:name="n178"/>
      <w:bookmarkEnd w:id="168"/>
      <w:r w:rsidRPr="00AC7530">
        <w:t>5. Розмір грошових коштів, окремо щодо розміщених на:</w:t>
      </w:r>
    </w:p>
    <w:p w14:paraId="66CB5919" w14:textId="77777777" w:rsidR="00AC7530" w:rsidRPr="00AC7530" w:rsidRDefault="00AC7530" w:rsidP="00AC7530">
      <w:bookmarkStart w:id="169" w:name="n179"/>
      <w:bookmarkEnd w:id="169"/>
      <w:r w:rsidRPr="00AC7530">
        <w:t>рахунках у банках, у яких запроваджено тимчасову адміністрацію або проводиться процедура ліквідації;</w:t>
      </w:r>
    </w:p>
    <w:p w14:paraId="222602C1" w14:textId="77777777" w:rsidR="00AC7530" w:rsidRPr="00AC7530" w:rsidRDefault="00AC7530" w:rsidP="00AC7530">
      <w:bookmarkStart w:id="170" w:name="n180"/>
      <w:bookmarkEnd w:id="170"/>
      <w:r w:rsidRPr="00AC7530">
        <w:t>поточних рахунках у банках;</w:t>
      </w:r>
    </w:p>
    <w:p w14:paraId="27446475" w14:textId="77777777" w:rsidR="00AC7530" w:rsidRPr="00AC7530" w:rsidRDefault="00AC7530" w:rsidP="00AC7530">
      <w:bookmarkStart w:id="171" w:name="n181"/>
      <w:bookmarkEnd w:id="171"/>
      <w:r w:rsidRPr="00AC7530">
        <w:t>депозитних рахунках у банках;</w:t>
      </w:r>
    </w:p>
    <w:p w14:paraId="05CE94C7" w14:textId="77777777" w:rsidR="00AC7530" w:rsidRPr="00AC7530" w:rsidRDefault="00AC7530" w:rsidP="00AC7530">
      <w:bookmarkStart w:id="172" w:name="n182"/>
      <w:bookmarkEnd w:id="172"/>
      <w:r w:rsidRPr="00AC7530">
        <w:t>розмір грошових коштів, які належать клієнтам за договорами, укладеними з ними при здійсненні субброкерської, брокерської діяльності та діяльності з управління портфелем фінансових інструментів,</w:t>
      </w:r>
      <w:r w:rsidRPr="00AC7530">
        <w:rPr>
          <w:b/>
          <w:bCs/>
          <w:vertAlign w:val="superscript"/>
        </w:rPr>
        <w:t>-3</w:t>
      </w:r>
      <w:r w:rsidRPr="00AC7530">
        <w:br/>
        <w:t>-  у полі «Розкриття інформації про фінансові активи» [текстовий блок]» «[822390-01] Примітки - Фінансові активи».</w:t>
      </w:r>
    </w:p>
    <w:p w14:paraId="612E5994" w14:textId="77777777" w:rsidR="00AC7530" w:rsidRPr="00AC7530" w:rsidRDefault="00AC7530" w:rsidP="00AC7530">
      <w:bookmarkStart w:id="173" w:name="n183"/>
      <w:bookmarkEnd w:id="173"/>
      <w:r w:rsidRPr="00AC7530">
        <w:t>6. Розмір зобов’язань:</w:t>
      </w:r>
    </w:p>
    <w:p w14:paraId="4A2F60F3" w14:textId="77777777" w:rsidR="00AC7530" w:rsidRPr="00AC7530" w:rsidRDefault="00AC7530" w:rsidP="00AC7530">
      <w:bookmarkStart w:id="174" w:name="n184"/>
      <w:bookmarkEnd w:id="174"/>
      <w:r w:rsidRPr="00AC7530">
        <w:lastRenderedPageBreak/>
        <w:t>загальний розмір зобов’язань суб’єкта звітування;</w:t>
      </w:r>
    </w:p>
    <w:p w14:paraId="16A7307B" w14:textId="77777777" w:rsidR="00AC7530" w:rsidRPr="00AC7530" w:rsidRDefault="00AC7530" w:rsidP="00AC7530">
      <w:bookmarkStart w:id="175" w:name="n185"/>
      <w:bookmarkEnd w:id="175"/>
      <w:r w:rsidRPr="00AC7530">
        <w:t>розмір зобов'язань за договорами з клієнтами при здійсненні субброкерської, брокерської діяльності та діяльності з управління портфелем фінансових інструментів,</w:t>
      </w:r>
      <w:r w:rsidRPr="00AC7530">
        <w:rPr>
          <w:b/>
          <w:bCs/>
          <w:vertAlign w:val="superscript"/>
        </w:rPr>
        <w:t>-3</w:t>
      </w:r>
      <w:r w:rsidRPr="00AC7530">
        <w:br/>
        <w:t>- у полі «Розкриття інформації про фінансові зобов'язання» [текстовий блок]» «[822390-03] Примітки - Фінансові зобов’язання».</w:t>
      </w:r>
    </w:p>
    <w:p w14:paraId="26FBAF3C" w14:textId="77777777" w:rsidR="00AC7530" w:rsidRPr="00AC7530" w:rsidRDefault="00AC7530" w:rsidP="00AC7530">
      <w:bookmarkStart w:id="176" w:name="n186"/>
      <w:bookmarkEnd w:id="176"/>
      <w:r w:rsidRPr="00AC7530">
        <w:t>7. Розмір неоплаченого статутного капіталу - у полі «Розкриття інформації про класи акціонерного капіталу» статті «Кількість акцій випущених, але не повністю оплачених» «[861200] Примітки - Акціонерний капітал, резерви та інша частка участі в капіталі».</w:t>
      </w:r>
    </w:p>
    <w:p w14:paraId="207E4E64" w14:textId="77777777" w:rsidR="00AC7530" w:rsidRPr="00AC7530" w:rsidRDefault="00AC7530" w:rsidP="00AC7530">
      <w:bookmarkStart w:id="177" w:name="n187"/>
      <w:bookmarkEnd w:id="177"/>
      <w:r w:rsidRPr="00AC7530">
        <w:t>8. Перелік пов’язаних сторін, яким були нараховані та/або виплачені дивіденди, та перелік пов’язаних сторін, від яких були отримані дивіденди, із зазначенням відповідних сум (нарахованих, виплачених чи отриманих дивідендів) - у полі «Розкриття інформації про операції між пов'язаними сторонами [текстовий блок]» «[818000] Примітки - Пов'язана сторона».</w:t>
      </w:r>
    </w:p>
    <w:p w14:paraId="289211A5" w14:textId="77777777" w:rsidR="00AC7530" w:rsidRPr="00AC7530" w:rsidRDefault="00AC7530" w:rsidP="00AC7530">
      <w:bookmarkStart w:id="178" w:name="n188"/>
      <w:bookmarkEnd w:id="178"/>
      <w:r w:rsidRPr="00AC7530">
        <w:t>9. Інформація щодо залученого незалежного оцінювача та активів, оцінку яких він проводив: вид активу, вартість активу до та після переоцінки, реквізити незалежного оцінювача (найменування або прізвище, ім’я та по-батькові) - у полі «Розкриття інформації про оцінку справедливої вартості [текстовий блок]» «[823000-1] Примітки - Оцінка справедливої вартості активів».</w:t>
      </w:r>
    </w:p>
    <w:p w14:paraId="06BBAD14" w14:textId="77777777" w:rsidR="00AC7530" w:rsidRPr="00AC7530" w:rsidRDefault="00AC7530" w:rsidP="00AC7530">
      <w:bookmarkStart w:id="179" w:name="n189"/>
      <w:bookmarkEnd w:id="179"/>
      <w:r w:rsidRPr="00AC7530">
        <w:t>__________</w:t>
      </w:r>
      <w:r w:rsidRPr="00AC7530">
        <w:br/>
        <w:t>Примітка:</w:t>
      </w:r>
      <w:r w:rsidRPr="00AC7530">
        <w:br/>
      </w:r>
      <w:r w:rsidRPr="00AC7530">
        <w:br/>
      </w:r>
      <w:r w:rsidRPr="00AC7530">
        <w:rPr>
          <w:b/>
          <w:bCs/>
          <w:vertAlign w:val="superscript"/>
        </w:rPr>
        <w:t>-1</w:t>
      </w:r>
      <w:r w:rsidRPr="00AC7530">
        <w:t> - розкривають професійні учасники ринків капіталу та організованих товарних ринків.</w:t>
      </w:r>
      <w:r w:rsidRPr="00AC7530">
        <w:br/>
      </w:r>
      <w:r w:rsidRPr="00AC7530">
        <w:rPr>
          <w:b/>
          <w:bCs/>
          <w:vertAlign w:val="superscript"/>
        </w:rPr>
        <w:t>-2 </w:t>
      </w:r>
      <w:r w:rsidRPr="00AC7530">
        <w:t>- розрахунок порогових значень здійснюється за даними «Звіту про фінансовий стан» на кінець відповідного звітного періоду, якщо інше не встановлено законодавством.</w:t>
      </w:r>
      <w:r w:rsidRPr="00AC7530">
        <w:br/>
      </w:r>
      <w:r w:rsidRPr="00AC7530">
        <w:rPr>
          <w:b/>
          <w:bCs/>
          <w:vertAlign w:val="superscript"/>
        </w:rPr>
        <w:t>-3</w:t>
      </w:r>
      <w:r w:rsidRPr="00AC7530">
        <w:t> - розкривають інвестиційні фірми.</w:t>
      </w:r>
    </w:p>
    <w:p w14:paraId="68EB8C57" w14:textId="77777777" w:rsidR="00AC7530" w:rsidRPr="00AC7530" w:rsidRDefault="00AC7530" w:rsidP="00AC7530">
      <w:bookmarkStart w:id="180" w:name="n196"/>
      <w:bookmarkEnd w:id="180"/>
      <w:r w:rsidRPr="00AC7530">
        <w:rPr>
          <w:i/>
          <w:iCs/>
        </w:rPr>
        <w:t>{Вимоги доповнено додатком 1 згідно з Рішенням Національної комісії з цінних паперів та фондового ринку </w:t>
      </w:r>
      <w:hyperlink r:id="rId38" w:anchor="n66" w:tgtFrame="_blank" w:history="1">
        <w:r w:rsidRPr="00AC7530">
          <w:rPr>
            <w:rStyle w:val="ae"/>
            <w:i/>
            <w:iCs/>
          </w:rPr>
          <w:t>№ 36/21/4172/К03 від 16.04.2026</w:t>
        </w:r>
      </w:hyperlink>
      <w:r w:rsidRPr="00AC7530">
        <w:rPr>
          <w:i/>
          <w:iCs/>
        </w:rPr>
        <w:t>}</w:t>
      </w:r>
    </w:p>
    <w:p w14:paraId="3DB4B540" w14:textId="77777777" w:rsidR="00673EB9" w:rsidRDefault="00673EB9" w:rsidP="00673EB9"/>
    <w:p w14:paraId="637C93A7" w14:textId="77777777" w:rsidR="00673EB9" w:rsidRDefault="00673EB9" w:rsidP="00673EB9"/>
    <w:p w14:paraId="5E7DFE17" w14:textId="77777777" w:rsidR="00673EB9" w:rsidRDefault="00673EB9" w:rsidP="00673EB9"/>
    <w:p w14:paraId="128F3BC7" w14:textId="77777777" w:rsidR="00673EB9" w:rsidRDefault="00673EB9" w:rsidP="00673EB9"/>
    <w:p w14:paraId="22D1738A" w14:textId="77777777" w:rsidR="00673EB9" w:rsidRDefault="00673EB9" w:rsidP="00673EB9"/>
    <w:p w14:paraId="301319B3" w14:textId="77777777" w:rsidR="00673EB9" w:rsidRDefault="00673EB9" w:rsidP="00673EB9"/>
    <w:p w14:paraId="586B77A9" w14:textId="77777777" w:rsidR="00673EB9" w:rsidRDefault="00673EB9" w:rsidP="00673EB9"/>
    <w:p w14:paraId="2FDD6BF6" w14:textId="77777777" w:rsidR="00673EB9" w:rsidRDefault="00673EB9" w:rsidP="00673EB9"/>
    <w:p w14:paraId="3BDC06D2" w14:textId="77777777" w:rsidR="00673EB9" w:rsidRPr="00673EB9" w:rsidRDefault="00673EB9" w:rsidP="00673EB9"/>
    <w:p w14:paraId="07E5DA2F" w14:textId="77777777" w:rsidR="00AC7530" w:rsidRPr="00673EB9" w:rsidRDefault="00AC7530" w:rsidP="00673EB9">
      <w:pPr>
        <w:pStyle w:val="a9"/>
        <w:numPr>
          <w:ilvl w:val="0"/>
          <w:numId w:val="1"/>
        </w:numPr>
      </w:pPr>
      <w:bookmarkStart w:id="181" w:name="n190"/>
      <w:bookmarkEnd w:id="181"/>
      <w:r w:rsidRPr="00673EB9">
        <w:br/>
      </w:r>
    </w:p>
    <w:tbl>
      <w:tblPr>
        <w:tblW w:w="5000" w:type="pct"/>
        <w:tblCellMar>
          <w:left w:w="0" w:type="dxa"/>
          <w:right w:w="0" w:type="dxa"/>
        </w:tblCellMar>
        <w:tblLook w:val="04A0" w:firstRow="1" w:lastRow="0" w:firstColumn="1" w:lastColumn="0" w:noHBand="0" w:noVBand="1"/>
      </w:tblPr>
      <w:tblGrid>
        <w:gridCol w:w="4949"/>
        <w:gridCol w:w="4400"/>
      </w:tblGrid>
      <w:tr w:rsidR="00AC7530" w:rsidRPr="00AC7530" w14:paraId="7661F327" w14:textId="77777777">
        <w:tc>
          <w:tcPr>
            <w:tcW w:w="2250" w:type="pct"/>
            <w:tcBorders>
              <w:top w:val="single" w:sz="2" w:space="0" w:color="auto"/>
              <w:left w:val="single" w:sz="2" w:space="0" w:color="auto"/>
              <w:bottom w:val="single" w:sz="2" w:space="0" w:color="auto"/>
              <w:right w:val="single" w:sz="2" w:space="0" w:color="auto"/>
            </w:tcBorders>
            <w:hideMark/>
          </w:tcPr>
          <w:p w14:paraId="17EFE7F0" w14:textId="77777777" w:rsidR="00AC7530" w:rsidRPr="00AC7530" w:rsidRDefault="00AC7530" w:rsidP="00AC7530">
            <w:bookmarkStart w:id="182" w:name="n191"/>
            <w:bookmarkEnd w:id="182"/>
          </w:p>
        </w:tc>
        <w:tc>
          <w:tcPr>
            <w:tcW w:w="2000" w:type="pct"/>
            <w:tcBorders>
              <w:top w:val="single" w:sz="2" w:space="0" w:color="auto"/>
              <w:left w:val="single" w:sz="2" w:space="0" w:color="auto"/>
              <w:bottom w:val="single" w:sz="2" w:space="0" w:color="auto"/>
              <w:right w:val="single" w:sz="2" w:space="0" w:color="auto"/>
            </w:tcBorders>
            <w:hideMark/>
          </w:tcPr>
          <w:p w14:paraId="69A191C4" w14:textId="77777777" w:rsidR="00AC7530" w:rsidRPr="00AC7530" w:rsidRDefault="00AC7530" w:rsidP="00AC7530">
            <w:r w:rsidRPr="00AC7530">
              <w:t>Додаток 2</w:t>
            </w:r>
            <w:r w:rsidRPr="00AC7530">
              <w:br/>
              <w:t>до Вимог до розкриття показників</w:t>
            </w:r>
            <w:r w:rsidRPr="00AC7530">
              <w:br/>
              <w:t>фінансової звітності у форматі XBRL</w:t>
            </w:r>
            <w:r w:rsidRPr="00AC7530">
              <w:br/>
              <w:t>для суб’єктів звітування, що є</w:t>
            </w:r>
            <w:r w:rsidRPr="00AC7530">
              <w:br/>
            </w:r>
            <w:r w:rsidRPr="00AC7530">
              <w:lastRenderedPageBreak/>
              <w:t>учасниками ринків капіталу та</w:t>
            </w:r>
            <w:r w:rsidRPr="00AC7530">
              <w:br/>
              <w:t>професійними учасниками</w:t>
            </w:r>
            <w:r w:rsidRPr="00AC7530">
              <w:br/>
              <w:t>організованих товарних ринків</w:t>
            </w:r>
            <w:r w:rsidRPr="00AC7530">
              <w:br/>
              <w:t>(</w:t>
            </w:r>
            <w:hyperlink r:id="rId39" w:anchor="n138" w:history="1">
              <w:r w:rsidRPr="00AC7530">
                <w:rPr>
                  <w:rStyle w:val="ae"/>
                </w:rPr>
                <w:t>пункт 43</w:t>
              </w:r>
            </w:hyperlink>
            <w:r w:rsidRPr="00AC7530">
              <w:t> розділу VI)</w:t>
            </w:r>
          </w:p>
        </w:tc>
      </w:tr>
    </w:tbl>
    <w:p w14:paraId="26BA0F0A" w14:textId="77777777" w:rsidR="00AC7530" w:rsidRPr="00AC7530" w:rsidRDefault="00AC7530" w:rsidP="00AC7530">
      <w:bookmarkStart w:id="183" w:name="n192"/>
      <w:bookmarkEnd w:id="183"/>
      <w:r w:rsidRPr="00AC7530">
        <w:rPr>
          <w:b/>
          <w:bCs/>
        </w:rPr>
        <w:lastRenderedPageBreak/>
        <w:t>Заявка</w:t>
      </w:r>
      <w:r w:rsidRPr="00AC7530">
        <w:br/>
      </w:r>
      <w:r w:rsidRPr="00AC7530">
        <w:rPr>
          <w:b/>
          <w:bCs/>
        </w:rPr>
        <w:t>на створення запиту на подання фінансової звітності</w:t>
      </w:r>
    </w:p>
    <w:tbl>
      <w:tblPr>
        <w:tblW w:w="5000" w:type="pct"/>
        <w:tblCellMar>
          <w:top w:w="60" w:type="dxa"/>
          <w:left w:w="60" w:type="dxa"/>
          <w:bottom w:w="60" w:type="dxa"/>
          <w:right w:w="60" w:type="dxa"/>
        </w:tblCellMar>
        <w:tblLook w:val="04A0" w:firstRow="1" w:lastRow="0" w:firstColumn="1" w:lastColumn="0" w:noHBand="0" w:noVBand="1"/>
      </w:tblPr>
      <w:tblGrid>
        <w:gridCol w:w="514"/>
        <w:gridCol w:w="4382"/>
        <w:gridCol w:w="4443"/>
      </w:tblGrid>
      <w:tr w:rsidR="00AC7530" w:rsidRPr="00AC7530" w14:paraId="029C0E06" w14:textId="77777777">
        <w:trPr>
          <w:trHeight w:val="675"/>
        </w:trPr>
        <w:tc>
          <w:tcPr>
            <w:tcW w:w="510" w:type="dxa"/>
            <w:tcBorders>
              <w:top w:val="single" w:sz="6" w:space="0" w:color="000000"/>
              <w:left w:val="single" w:sz="6" w:space="0" w:color="000000"/>
              <w:bottom w:val="single" w:sz="6" w:space="0" w:color="000000"/>
              <w:right w:val="single" w:sz="6" w:space="0" w:color="000000"/>
            </w:tcBorders>
            <w:hideMark/>
          </w:tcPr>
          <w:p w14:paraId="4ADFAD74" w14:textId="77777777" w:rsidR="00AC7530" w:rsidRPr="00AC7530" w:rsidRDefault="00AC7530" w:rsidP="00AC7530">
            <w:bookmarkStart w:id="184" w:name="n193"/>
            <w:bookmarkEnd w:id="184"/>
            <w:r w:rsidRPr="00AC7530">
              <w:t>1</w:t>
            </w:r>
          </w:p>
        </w:tc>
        <w:tc>
          <w:tcPr>
            <w:tcW w:w="4350" w:type="dxa"/>
            <w:tcBorders>
              <w:top w:val="single" w:sz="6" w:space="0" w:color="000000"/>
              <w:left w:val="single" w:sz="6" w:space="0" w:color="000000"/>
              <w:bottom w:val="single" w:sz="6" w:space="0" w:color="000000"/>
              <w:right w:val="single" w:sz="6" w:space="0" w:color="000000"/>
            </w:tcBorders>
            <w:hideMark/>
          </w:tcPr>
          <w:p w14:paraId="020E052D" w14:textId="77777777" w:rsidR="00AC7530" w:rsidRPr="00AC7530" w:rsidRDefault="00AC7530" w:rsidP="00AC7530">
            <w:r w:rsidRPr="00AC7530">
              <w:t>Найменування суб’єкта звітування</w:t>
            </w:r>
          </w:p>
        </w:tc>
        <w:tc>
          <w:tcPr>
            <w:tcW w:w="4410" w:type="dxa"/>
            <w:tcBorders>
              <w:top w:val="single" w:sz="6" w:space="0" w:color="000000"/>
              <w:left w:val="single" w:sz="6" w:space="0" w:color="000000"/>
              <w:bottom w:val="single" w:sz="6" w:space="0" w:color="000000"/>
              <w:right w:val="single" w:sz="6" w:space="0" w:color="000000"/>
            </w:tcBorders>
            <w:hideMark/>
          </w:tcPr>
          <w:p w14:paraId="6EE92E24" w14:textId="77777777" w:rsidR="00AC7530" w:rsidRPr="00AC7530" w:rsidRDefault="00AC7530" w:rsidP="00AC7530"/>
        </w:tc>
      </w:tr>
      <w:tr w:rsidR="00AC7530" w:rsidRPr="00AC7530" w14:paraId="43CE9AEA" w14:textId="77777777">
        <w:trPr>
          <w:trHeight w:val="705"/>
        </w:trPr>
        <w:tc>
          <w:tcPr>
            <w:tcW w:w="510" w:type="dxa"/>
            <w:tcBorders>
              <w:top w:val="single" w:sz="6" w:space="0" w:color="000000"/>
              <w:left w:val="single" w:sz="6" w:space="0" w:color="000000"/>
              <w:bottom w:val="single" w:sz="6" w:space="0" w:color="000000"/>
              <w:right w:val="single" w:sz="6" w:space="0" w:color="000000"/>
            </w:tcBorders>
            <w:hideMark/>
          </w:tcPr>
          <w:p w14:paraId="37D2B8CC" w14:textId="77777777" w:rsidR="00AC7530" w:rsidRPr="00AC7530" w:rsidRDefault="00AC7530" w:rsidP="00AC7530">
            <w:r w:rsidRPr="00AC7530">
              <w:t>2</w:t>
            </w:r>
          </w:p>
        </w:tc>
        <w:tc>
          <w:tcPr>
            <w:tcW w:w="4350" w:type="dxa"/>
            <w:tcBorders>
              <w:top w:val="single" w:sz="6" w:space="0" w:color="000000"/>
              <w:left w:val="single" w:sz="6" w:space="0" w:color="000000"/>
              <w:bottom w:val="single" w:sz="6" w:space="0" w:color="000000"/>
              <w:right w:val="single" w:sz="6" w:space="0" w:color="000000"/>
            </w:tcBorders>
            <w:hideMark/>
          </w:tcPr>
          <w:p w14:paraId="2A0841EE" w14:textId="77777777" w:rsidR="00AC7530" w:rsidRPr="00AC7530" w:rsidRDefault="00AC7530" w:rsidP="00AC7530">
            <w:r w:rsidRPr="00AC7530">
              <w:t>Ідентифікаційний код суб’єкта звітування (код ЄДРІСІ для пайового інвестиційного фонду)</w:t>
            </w:r>
          </w:p>
        </w:tc>
        <w:tc>
          <w:tcPr>
            <w:tcW w:w="4410" w:type="dxa"/>
            <w:tcBorders>
              <w:top w:val="single" w:sz="6" w:space="0" w:color="000000"/>
              <w:left w:val="single" w:sz="6" w:space="0" w:color="000000"/>
              <w:bottom w:val="single" w:sz="6" w:space="0" w:color="000000"/>
              <w:right w:val="single" w:sz="6" w:space="0" w:color="000000"/>
            </w:tcBorders>
            <w:hideMark/>
          </w:tcPr>
          <w:p w14:paraId="19D60D72" w14:textId="77777777" w:rsidR="00AC7530" w:rsidRPr="00AC7530" w:rsidRDefault="00AC7530" w:rsidP="00AC7530"/>
        </w:tc>
      </w:tr>
      <w:tr w:rsidR="00AC7530" w:rsidRPr="00AC7530" w14:paraId="46881315" w14:textId="77777777">
        <w:trPr>
          <w:trHeight w:val="825"/>
        </w:trPr>
        <w:tc>
          <w:tcPr>
            <w:tcW w:w="510" w:type="dxa"/>
            <w:tcBorders>
              <w:top w:val="single" w:sz="6" w:space="0" w:color="000000"/>
              <w:left w:val="single" w:sz="6" w:space="0" w:color="000000"/>
              <w:bottom w:val="single" w:sz="6" w:space="0" w:color="000000"/>
              <w:right w:val="single" w:sz="6" w:space="0" w:color="000000"/>
            </w:tcBorders>
            <w:hideMark/>
          </w:tcPr>
          <w:p w14:paraId="6819EE4E" w14:textId="77777777" w:rsidR="00AC7530" w:rsidRPr="00AC7530" w:rsidRDefault="00AC7530" w:rsidP="00AC7530">
            <w:r w:rsidRPr="00AC7530">
              <w:t>3</w:t>
            </w:r>
          </w:p>
        </w:tc>
        <w:tc>
          <w:tcPr>
            <w:tcW w:w="4350" w:type="dxa"/>
            <w:tcBorders>
              <w:top w:val="single" w:sz="6" w:space="0" w:color="000000"/>
              <w:left w:val="single" w:sz="6" w:space="0" w:color="000000"/>
              <w:bottom w:val="single" w:sz="6" w:space="0" w:color="000000"/>
              <w:right w:val="single" w:sz="6" w:space="0" w:color="000000"/>
            </w:tcBorders>
            <w:hideMark/>
          </w:tcPr>
          <w:p w14:paraId="45D8045F" w14:textId="77777777" w:rsidR="00AC7530" w:rsidRPr="00AC7530" w:rsidRDefault="00AC7530" w:rsidP="00AC7530">
            <w:r w:rsidRPr="00AC7530">
              <w:t>Дата, станом на яку має бути складена фінансова звітність</w:t>
            </w:r>
            <w:r w:rsidRPr="00AC7530">
              <w:rPr>
                <w:b/>
                <w:bCs/>
                <w:vertAlign w:val="superscript"/>
              </w:rPr>
              <w:t>-1</w:t>
            </w:r>
          </w:p>
        </w:tc>
        <w:tc>
          <w:tcPr>
            <w:tcW w:w="4410" w:type="dxa"/>
            <w:tcBorders>
              <w:top w:val="single" w:sz="6" w:space="0" w:color="000000"/>
              <w:left w:val="single" w:sz="6" w:space="0" w:color="000000"/>
              <w:bottom w:val="single" w:sz="6" w:space="0" w:color="000000"/>
              <w:right w:val="single" w:sz="6" w:space="0" w:color="000000"/>
            </w:tcBorders>
            <w:hideMark/>
          </w:tcPr>
          <w:p w14:paraId="0B2C88C8" w14:textId="77777777" w:rsidR="00AC7530" w:rsidRPr="00AC7530" w:rsidRDefault="00AC7530" w:rsidP="00AC7530"/>
        </w:tc>
      </w:tr>
      <w:tr w:rsidR="00AC7530" w:rsidRPr="00AC7530" w14:paraId="5DFD8529" w14:textId="77777777">
        <w:trPr>
          <w:trHeight w:val="855"/>
        </w:trPr>
        <w:tc>
          <w:tcPr>
            <w:tcW w:w="510" w:type="dxa"/>
            <w:tcBorders>
              <w:top w:val="single" w:sz="6" w:space="0" w:color="000000"/>
              <w:left w:val="single" w:sz="6" w:space="0" w:color="000000"/>
              <w:bottom w:val="single" w:sz="6" w:space="0" w:color="000000"/>
              <w:right w:val="single" w:sz="6" w:space="0" w:color="000000"/>
            </w:tcBorders>
            <w:hideMark/>
          </w:tcPr>
          <w:p w14:paraId="6D50EFD5" w14:textId="77777777" w:rsidR="00AC7530" w:rsidRPr="00AC7530" w:rsidRDefault="00AC7530" w:rsidP="00AC7530">
            <w:r w:rsidRPr="00AC7530">
              <w:t>4</w:t>
            </w:r>
          </w:p>
        </w:tc>
        <w:tc>
          <w:tcPr>
            <w:tcW w:w="4350" w:type="dxa"/>
            <w:tcBorders>
              <w:top w:val="single" w:sz="6" w:space="0" w:color="000000"/>
              <w:left w:val="single" w:sz="6" w:space="0" w:color="000000"/>
              <w:bottom w:val="single" w:sz="6" w:space="0" w:color="000000"/>
              <w:right w:val="single" w:sz="6" w:space="0" w:color="000000"/>
            </w:tcBorders>
            <w:hideMark/>
          </w:tcPr>
          <w:p w14:paraId="550DAB19" w14:textId="77777777" w:rsidR="00AC7530" w:rsidRPr="00AC7530" w:rsidRDefault="00AC7530" w:rsidP="00AC7530">
            <w:r w:rsidRPr="00AC7530">
              <w:t>Дата, станом до якої фінансова звітність має бути подана</w:t>
            </w:r>
            <w:r w:rsidRPr="00AC7530">
              <w:rPr>
                <w:b/>
                <w:bCs/>
                <w:vertAlign w:val="superscript"/>
              </w:rPr>
              <w:t>-1</w:t>
            </w:r>
          </w:p>
        </w:tc>
        <w:tc>
          <w:tcPr>
            <w:tcW w:w="4410" w:type="dxa"/>
            <w:tcBorders>
              <w:top w:val="single" w:sz="6" w:space="0" w:color="000000"/>
              <w:left w:val="single" w:sz="6" w:space="0" w:color="000000"/>
              <w:bottom w:val="single" w:sz="6" w:space="0" w:color="000000"/>
              <w:right w:val="single" w:sz="6" w:space="0" w:color="000000"/>
            </w:tcBorders>
            <w:hideMark/>
          </w:tcPr>
          <w:p w14:paraId="0869CD81" w14:textId="77777777" w:rsidR="00AC7530" w:rsidRPr="00AC7530" w:rsidRDefault="00AC7530" w:rsidP="00AC7530"/>
        </w:tc>
      </w:tr>
      <w:tr w:rsidR="00AC7530" w:rsidRPr="00AC7530" w14:paraId="2BBFCF9F" w14:textId="77777777">
        <w:trPr>
          <w:trHeight w:val="690"/>
        </w:trPr>
        <w:tc>
          <w:tcPr>
            <w:tcW w:w="510" w:type="dxa"/>
            <w:tcBorders>
              <w:top w:val="single" w:sz="6" w:space="0" w:color="000000"/>
              <w:left w:val="single" w:sz="6" w:space="0" w:color="000000"/>
              <w:bottom w:val="single" w:sz="6" w:space="0" w:color="000000"/>
              <w:right w:val="single" w:sz="6" w:space="0" w:color="000000"/>
            </w:tcBorders>
            <w:hideMark/>
          </w:tcPr>
          <w:p w14:paraId="61EA51AE" w14:textId="77777777" w:rsidR="00AC7530" w:rsidRPr="00AC7530" w:rsidRDefault="00AC7530" w:rsidP="00AC7530">
            <w:r w:rsidRPr="00AC7530">
              <w:t>5</w:t>
            </w:r>
          </w:p>
        </w:tc>
        <w:tc>
          <w:tcPr>
            <w:tcW w:w="4350" w:type="dxa"/>
            <w:tcBorders>
              <w:top w:val="single" w:sz="6" w:space="0" w:color="000000"/>
              <w:left w:val="single" w:sz="6" w:space="0" w:color="000000"/>
              <w:bottom w:val="single" w:sz="6" w:space="0" w:color="000000"/>
              <w:right w:val="single" w:sz="6" w:space="0" w:color="000000"/>
            </w:tcBorders>
            <w:hideMark/>
          </w:tcPr>
          <w:p w14:paraId="754C6D9A" w14:textId="77777777" w:rsidR="00AC7530" w:rsidRPr="00AC7530" w:rsidRDefault="00AC7530" w:rsidP="00AC7530">
            <w:r w:rsidRPr="00AC7530">
              <w:t>Підстава необхідності подання фінансової звітності</w:t>
            </w:r>
          </w:p>
        </w:tc>
        <w:tc>
          <w:tcPr>
            <w:tcW w:w="4410" w:type="dxa"/>
            <w:tcBorders>
              <w:top w:val="single" w:sz="6" w:space="0" w:color="000000"/>
              <w:left w:val="single" w:sz="6" w:space="0" w:color="000000"/>
              <w:bottom w:val="single" w:sz="6" w:space="0" w:color="000000"/>
              <w:right w:val="single" w:sz="6" w:space="0" w:color="000000"/>
            </w:tcBorders>
            <w:hideMark/>
          </w:tcPr>
          <w:p w14:paraId="1015B4A5" w14:textId="77777777" w:rsidR="00AC7530" w:rsidRPr="00AC7530" w:rsidRDefault="00AC7530" w:rsidP="00AC7530"/>
        </w:tc>
      </w:tr>
      <w:tr w:rsidR="00AC7530" w:rsidRPr="00AC7530" w14:paraId="50FF0311" w14:textId="77777777">
        <w:trPr>
          <w:trHeight w:val="705"/>
        </w:trPr>
        <w:tc>
          <w:tcPr>
            <w:tcW w:w="510" w:type="dxa"/>
            <w:tcBorders>
              <w:top w:val="single" w:sz="6" w:space="0" w:color="000000"/>
              <w:left w:val="single" w:sz="6" w:space="0" w:color="000000"/>
              <w:bottom w:val="single" w:sz="6" w:space="0" w:color="000000"/>
              <w:right w:val="single" w:sz="6" w:space="0" w:color="000000"/>
            </w:tcBorders>
            <w:hideMark/>
          </w:tcPr>
          <w:p w14:paraId="788CCAA5" w14:textId="77777777" w:rsidR="00AC7530" w:rsidRPr="00AC7530" w:rsidRDefault="00AC7530" w:rsidP="00AC7530">
            <w:r w:rsidRPr="00AC7530">
              <w:t>6</w:t>
            </w:r>
          </w:p>
        </w:tc>
        <w:tc>
          <w:tcPr>
            <w:tcW w:w="4350" w:type="dxa"/>
            <w:tcBorders>
              <w:top w:val="single" w:sz="6" w:space="0" w:color="000000"/>
              <w:left w:val="single" w:sz="6" w:space="0" w:color="000000"/>
              <w:bottom w:val="single" w:sz="6" w:space="0" w:color="000000"/>
              <w:right w:val="single" w:sz="6" w:space="0" w:color="000000"/>
            </w:tcBorders>
            <w:hideMark/>
          </w:tcPr>
          <w:p w14:paraId="4C470B82" w14:textId="77777777" w:rsidR="00AC7530" w:rsidRPr="00AC7530" w:rsidRDefault="00AC7530" w:rsidP="00AC7530">
            <w:r w:rsidRPr="00AC7530">
              <w:t>Реквізити контактної особи суб’єкта звітування</w:t>
            </w:r>
          </w:p>
        </w:tc>
        <w:tc>
          <w:tcPr>
            <w:tcW w:w="4410" w:type="dxa"/>
            <w:tcBorders>
              <w:top w:val="single" w:sz="6" w:space="0" w:color="000000"/>
              <w:left w:val="single" w:sz="6" w:space="0" w:color="000000"/>
              <w:bottom w:val="single" w:sz="6" w:space="0" w:color="000000"/>
              <w:right w:val="single" w:sz="6" w:space="0" w:color="000000"/>
            </w:tcBorders>
            <w:hideMark/>
          </w:tcPr>
          <w:p w14:paraId="5C9165E6" w14:textId="77777777" w:rsidR="00AC7530" w:rsidRPr="00AC7530" w:rsidRDefault="00AC7530" w:rsidP="00AC7530"/>
        </w:tc>
      </w:tr>
      <w:tr w:rsidR="00AC7530" w:rsidRPr="00AC7530" w14:paraId="0D43787B" w14:textId="77777777">
        <w:trPr>
          <w:trHeight w:val="705"/>
        </w:trPr>
        <w:tc>
          <w:tcPr>
            <w:tcW w:w="510" w:type="dxa"/>
            <w:tcBorders>
              <w:top w:val="single" w:sz="6" w:space="0" w:color="000000"/>
              <w:left w:val="single" w:sz="6" w:space="0" w:color="000000"/>
              <w:bottom w:val="single" w:sz="6" w:space="0" w:color="000000"/>
              <w:right w:val="single" w:sz="6" w:space="0" w:color="000000"/>
            </w:tcBorders>
            <w:hideMark/>
          </w:tcPr>
          <w:p w14:paraId="62258D33" w14:textId="77777777" w:rsidR="00AC7530" w:rsidRPr="00AC7530" w:rsidRDefault="00AC7530" w:rsidP="00AC7530">
            <w:r w:rsidRPr="00AC7530">
              <w:t>7</w:t>
            </w:r>
          </w:p>
        </w:tc>
        <w:tc>
          <w:tcPr>
            <w:tcW w:w="4350" w:type="dxa"/>
            <w:tcBorders>
              <w:top w:val="single" w:sz="6" w:space="0" w:color="000000"/>
              <w:left w:val="single" w:sz="6" w:space="0" w:color="000000"/>
              <w:bottom w:val="single" w:sz="6" w:space="0" w:color="000000"/>
              <w:right w:val="single" w:sz="6" w:space="0" w:color="000000"/>
            </w:tcBorders>
            <w:hideMark/>
          </w:tcPr>
          <w:p w14:paraId="55A6B831" w14:textId="77777777" w:rsidR="00AC7530" w:rsidRPr="00AC7530" w:rsidRDefault="00AC7530" w:rsidP="00AC7530">
            <w:r w:rsidRPr="00AC7530">
              <w:t>Інформація щодо проведення аудиту фінансової звітності на вимогу законодавства</w:t>
            </w:r>
          </w:p>
        </w:tc>
        <w:tc>
          <w:tcPr>
            <w:tcW w:w="4410" w:type="dxa"/>
            <w:tcBorders>
              <w:top w:val="single" w:sz="6" w:space="0" w:color="000000"/>
              <w:left w:val="single" w:sz="6" w:space="0" w:color="000000"/>
              <w:bottom w:val="single" w:sz="6" w:space="0" w:color="000000"/>
              <w:right w:val="single" w:sz="6" w:space="0" w:color="000000"/>
            </w:tcBorders>
            <w:hideMark/>
          </w:tcPr>
          <w:p w14:paraId="77F50165" w14:textId="77777777" w:rsidR="00AC7530" w:rsidRPr="00AC7530" w:rsidRDefault="00AC7530" w:rsidP="00AC7530">
            <w:r w:rsidRPr="00AC7530">
              <w:t>Проводився  / не проводився</w:t>
            </w:r>
          </w:p>
        </w:tc>
      </w:tr>
    </w:tbl>
    <w:p w14:paraId="7071B2AA" w14:textId="77777777" w:rsidR="00AC7530" w:rsidRPr="00AC7530" w:rsidRDefault="00AC7530" w:rsidP="00AC7530">
      <w:bookmarkStart w:id="185" w:name="n194"/>
      <w:bookmarkEnd w:id="185"/>
      <w:r w:rsidRPr="00AC7530">
        <w:t>__________</w:t>
      </w:r>
      <w:r w:rsidRPr="00AC7530">
        <w:br/>
        <w:t>Примітка:</w:t>
      </w:r>
      <w:r w:rsidRPr="00AC7530">
        <w:br/>
      </w:r>
      <w:r w:rsidRPr="00AC7530">
        <w:br/>
      </w:r>
      <w:r w:rsidRPr="00AC7530">
        <w:rPr>
          <w:b/>
          <w:bCs/>
          <w:vertAlign w:val="superscript"/>
        </w:rPr>
        <w:t>-1</w:t>
      </w:r>
      <w:r w:rsidRPr="00AC7530">
        <w:t> - дата зазначається у форматі: день, місяць, рік.</w:t>
      </w:r>
    </w:p>
    <w:p w14:paraId="54E0157F" w14:textId="77777777" w:rsidR="00AC7530" w:rsidRPr="00AC7530" w:rsidRDefault="00AC7530" w:rsidP="00AC7530">
      <w:bookmarkStart w:id="186" w:name="n195"/>
      <w:bookmarkEnd w:id="186"/>
      <w:r w:rsidRPr="00AC7530">
        <w:rPr>
          <w:i/>
          <w:iCs/>
        </w:rPr>
        <w:t>{Вимоги доповнено додатком 2 згідно з Рішенням Національної комісії з цінних паперів та фондового ринку </w:t>
      </w:r>
      <w:hyperlink r:id="rId40" w:anchor="n99" w:tgtFrame="_blank" w:history="1">
        <w:r w:rsidRPr="00AC7530">
          <w:rPr>
            <w:rStyle w:val="ae"/>
            <w:i/>
            <w:iCs/>
          </w:rPr>
          <w:t>№ 36/21/4172/К03 від 16.04.2026</w:t>
        </w:r>
      </w:hyperlink>
      <w:r w:rsidRPr="00AC7530">
        <w:rPr>
          <w:i/>
          <w:iCs/>
        </w:rPr>
        <w:t>}</w:t>
      </w:r>
    </w:p>
    <w:p w14:paraId="2D267C5B" w14:textId="77777777" w:rsidR="009B333C" w:rsidRPr="00AC7530" w:rsidRDefault="009B333C"/>
    <w:sectPr w:rsidR="009B333C" w:rsidRPr="00AC7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0" o:hralign="center" o:bullet="t" o:hrstd="t" o:hrnoshade="t" o:hr="t" fillcolor="black" stroked="f"/>
    </w:pict>
  </w:numPicBullet>
  <w:abstractNum w:abstractNumId="0" w15:restartNumberingAfterBreak="0">
    <w:nsid w:val="0F114204"/>
    <w:multiLevelType w:val="hybridMultilevel"/>
    <w:tmpl w:val="8826BB9C"/>
    <w:lvl w:ilvl="0" w:tplc="01F6A9D4">
      <w:start w:val="1"/>
      <w:numFmt w:val="bullet"/>
      <w:lvlText w:val=""/>
      <w:lvlPicBulletId w:val="0"/>
      <w:lvlJc w:val="left"/>
      <w:pPr>
        <w:tabs>
          <w:tab w:val="num" w:pos="720"/>
        </w:tabs>
        <w:ind w:left="720" w:hanging="360"/>
      </w:pPr>
      <w:rPr>
        <w:rFonts w:ascii="Symbol" w:hAnsi="Symbol" w:hint="default"/>
      </w:rPr>
    </w:lvl>
    <w:lvl w:ilvl="1" w:tplc="AED2246E" w:tentative="1">
      <w:start w:val="1"/>
      <w:numFmt w:val="bullet"/>
      <w:lvlText w:val=""/>
      <w:lvlJc w:val="left"/>
      <w:pPr>
        <w:tabs>
          <w:tab w:val="num" w:pos="1440"/>
        </w:tabs>
        <w:ind w:left="1440" w:hanging="360"/>
      </w:pPr>
      <w:rPr>
        <w:rFonts w:ascii="Symbol" w:hAnsi="Symbol" w:hint="default"/>
      </w:rPr>
    </w:lvl>
    <w:lvl w:ilvl="2" w:tplc="E5E8B488" w:tentative="1">
      <w:start w:val="1"/>
      <w:numFmt w:val="bullet"/>
      <w:lvlText w:val=""/>
      <w:lvlJc w:val="left"/>
      <w:pPr>
        <w:tabs>
          <w:tab w:val="num" w:pos="2160"/>
        </w:tabs>
        <w:ind w:left="2160" w:hanging="360"/>
      </w:pPr>
      <w:rPr>
        <w:rFonts w:ascii="Symbol" w:hAnsi="Symbol" w:hint="default"/>
      </w:rPr>
    </w:lvl>
    <w:lvl w:ilvl="3" w:tplc="64A805CA" w:tentative="1">
      <w:start w:val="1"/>
      <w:numFmt w:val="bullet"/>
      <w:lvlText w:val=""/>
      <w:lvlJc w:val="left"/>
      <w:pPr>
        <w:tabs>
          <w:tab w:val="num" w:pos="2880"/>
        </w:tabs>
        <w:ind w:left="2880" w:hanging="360"/>
      </w:pPr>
      <w:rPr>
        <w:rFonts w:ascii="Symbol" w:hAnsi="Symbol" w:hint="default"/>
      </w:rPr>
    </w:lvl>
    <w:lvl w:ilvl="4" w:tplc="59B62718" w:tentative="1">
      <w:start w:val="1"/>
      <w:numFmt w:val="bullet"/>
      <w:lvlText w:val=""/>
      <w:lvlJc w:val="left"/>
      <w:pPr>
        <w:tabs>
          <w:tab w:val="num" w:pos="3600"/>
        </w:tabs>
        <w:ind w:left="3600" w:hanging="360"/>
      </w:pPr>
      <w:rPr>
        <w:rFonts w:ascii="Symbol" w:hAnsi="Symbol" w:hint="default"/>
      </w:rPr>
    </w:lvl>
    <w:lvl w:ilvl="5" w:tplc="38CC6E7E" w:tentative="1">
      <w:start w:val="1"/>
      <w:numFmt w:val="bullet"/>
      <w:lvlText w:val=""/>
      <w:lvlJc w:val="left"/>
      <w:pPr>
        <w:tabs>
          <w:tab w:val="num" w:pos="4320"/>
        </w:tabs>
        <w:ind w:left="4320" w:hanging="360"/>
      </w:pPr>
      <w:rPr>
        <w:rFonts w:ascii="Symbol" w:hAnsi="Symbol" w:hint="default"/>
      </w:rPr>
    </w:lvl>
    <w:lvl w:ilvl="6" w:tplc="6C2078C2" w:tentative="1">
      <w:start w:val="1"/>
      <w:numFmt w:val="bullet"/>
      <w:lvlText w:val=""/>
      <w:lvlJc w:val="left"/>
      <w:pPr>
        <w:tabs>
          <w:tab w:val="num" w:pos="5040"/>
        </w:tabs>
        <w:ind w:left="5040" w:hanging="360"/>
      </w:pPr>
      <w:rPr>
        <w:rFonts w:ascii="Symbol" w:hAnsi="Symbol" w:hint="default"/>
      </w:rPr>
    </w:lvl>
    <w:lvl w:ilvl="7" w:tplc="40A8BC84" w:tentative="1">
      <w:start w:val="1"/>
      <w:numFmt w:val="bullet"/>
      <w:lvlText w:val=""/>
      <w:lvlJc w:val="left"/>
      <w:pPr>
        <w:tabs>
          <w:tab w:val="num" w:pos="5760"/>
        </w:tabs>
        <w:ind w:left="5760" w:hanging="360"/>
      </w:pPr>
      <w:rPr>
        <w:rFonts w:ascii="Symbol" w:hAnsi="Symbol" w:hint="default"/>
      </w:rPr>
    </w:lvl>
    <w:lvl w:ilvl="8" w:tplc="8D4AB35C" w:tentative="1">
      <w:start w:val="1"/>
      <w:numFmt w:val="bullet"/>
      <w:lvlText w:val=""/>
      <w:lvlJc w:val="left"/>
      <w:pPr>
        <w:tabs>
          <w:tab w:val="num" w:pos="6480"/>
        </w:tabs>
        <w:ind w:left="6480" w:hanging="360"/>
      </w:pPr>
      <w:rPr>
        <w:rFonts w:ascii="Symbol" w:hAnsi="Symbol" w:hint="default"/>
      </w:rPr>
    </w:lvl>
  </w:abstractNum>
  <w:num w:numId="1" w16cid:durableId="105304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C5"/>
    <w:rsid w:val="00011C47"/>
    <w:rsid w:val="00566399"/>
    <w:rsid w:val="00673EB9"/>
    <w:rsid w:val="006F36F6"/>
    <w:rsid w:val="007D3FC5"/>
    <w:rsid w:val="009B333C"/>
    <w:rsid w:val="00AC7530"/>
    <w:rsid w:val="00E923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1D58"/>
  <w15:chartTrackingRefBased/>
  <w15:docId w15:val="{1222A54F-86DC-4B7E-934A-08F7C016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3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3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3F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3F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3F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3F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3F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3F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3F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F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3F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3F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3F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3F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3F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3FC5"/>
    <w:rPr>
      <w:rFonts w:eastAsiaTheme="majorEastAsia" w:cstheme="majorBidi"/>
      <w:color w:val="595959" w:themeColor="text1" w:themeTint="A6"/>
    </w:rPr>
  </w:style>
  <w:style w:type="character" w:customStyle="1" w:styleId="80">
    <w:name w:val="Заголовок 8 Знак"/>
    <w:basedOn w:val="a0"/>
    <w:link w:val="8"/>
    <w:uiPriority w:val="9"/>
    <w:semiHidden/>
    <w:rsid w:val="007D3F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3FC5"/>
    <w:rPr>
      <w:rFonts w:eastAsiaTheme="majorEastAsia" w:cstheme="majorBidi"/>
      <w:color w:val="272727" w:themeColor="text1" w:themeTint="D8"/>
    </w:rPr>
  </w:style>
  <w:style w:type="paragraph" w:styleId="a3">
    <w:name w:val="Title"/>
    <w:basedOn w:val="a"/>
    <w:next w:val="a"/>
    <w:link w:val="a4"/>
    <w:uiPriority w:val="10"/>
    <w:qFormat/>
    <w:rsid w:val="007D3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D3F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FC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D3FC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D3FC5"/>
    <w:pPr>
      <w:spacing w:before="160"/>
      <w:jc w:val="center"/>
    </w:pPr>
    <w:rPr>
      <w:i/>
      <w:iCs/>
      <w:color w:val="404040" w:themeColor="text1" w:themeTint="BF"/>
    </w:rPr>
  </w:style>
  <w:style w:type="character" w:customStyle="1" w:styleId="a8">
    <w:name w:val="Цитата Знак"/>
    <w:basedOn w:val="a0"/>
    <w:link w:val="a7"/>
    <w:uiPriority w:val="29"/>
    <w:rsid w:val="007D3FC5"/>
    <w:rPr>
      <w:i/>
      <w:iCs/>
      <w:color w:val="404040" w:themeColor="text1" w:themeTint="BF"/>
    </w:rPr>
  </w:style>
  <w:style w:type="paragraph" w:styleId="a9">
    <w:name w:val="List Paragraph"/>
    <w:basedOn w:val="a"/>
    <w:uiPriority w:val="34"/>
    <w:qFormat/>
    <w:rsid w:val="007D3FC5"/>
    <w:pPr>
      <w:ind w:left="720"/>
      <w:contextualSpacing/>
    </w:pPr>
  </w:style>
  <w:style w:type="character" w:styleId="aa">
    <w:name w:val="Intense Emphasis"/>
    <w:basedOn w:val="a0"/>
    <w:uiPriority w:val="21"/>
    <w:qFormat/>
    <w:rsid w:val="007D3FC5"/>
    <w:rPr>
      <w:i/>
      <w:iCs/>
      <w:color w:val="2F5496" w:themeColor="accent1" w:themeShade="BF"/>
    </w:rPr>
  </w:style>
  <w:style w:type="paragraph" w:styleId="ab">
    <w:name w:val="Intense Quote"/>
    <w:basedOn w:val="a"/>
    <w:next w:val="a"/>
    <w:link w:val="ac"/>
    <w:uiPriority w:val="30"/>
    <w:qFormat/>
    <w:rsid w:val="007D3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D3FC5"/>
    <w:rPr>
      <w:i/>
      <w:iCs/>
      <w:color w:val="2F5496" w:themeColor="accent1" w:themeShade="BF"/>
    </w:rPr>
  </w:style>
  <w:style w:type="character" w:styleId="ad">
    <w:name w:val="Intense Reference"/>
    <w:basedOn w:val="a0"/>
    <w:uiPriority w:val="32"/>
    <w:qFormat/>
    <w:rsid w:val="007D3FC5"/>
    <w:rPr>
      <w:b/>
      <w:bCs/>
      <w:smallCaps/>
      <w:color w:val="2F5496" w:themeColor="accent1" w:themeShade="BF"/>
      <w:spacing w:val="5"/>
    </w:rPr>
  </w:style>
  <w:style w:type="character" w:styleId="ae">
    <w:name w:val="Hyperlink"/>
    <w:basedOn w:val="a0"/>
    <w:uiPriority w:val="99"/>
    <w:unhideWhenUsed/>
    <w:rsid w:val="00AC7530"/>
    <w:rPr>
      <w:color w:val="0563C1" w:themeColor="hyperlink"/>
      <w:u w:val="single"/>
    </w:rPr>
  </w:style>
  <w:style w:type="character" w:styleId="af">
    <w:name w:val="Unresolved Mention"/>
    <w:basedOn w:val="a0"/>
    <w:uiPriority w:val="99"/>
    <w:semiHidden/>
    <w:unhideWhenUsed/>
    <w:rsid w:val="00AC7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258-19" TargetMode="External"/><Relationship Id="rId18" Type="http://schemas.openxmlformats.org/officeDocument/2006/relationships/hyperlink" Target="https://zakon.rada.gov.ua/laws/show/z0958-25" TargetMode="External"/><Relationship Id="rId26" Type="http://schemas.openxmlformats.org/officeDocument/2006/relationships/hyperlink" Target="https://zakon.rada.gov.ua/laws/show/z0958-25" TargetMode="External"/><Relationship Id="rId39" Type="http://schemas.openxmlformats.org/officeDocument/2006/relationships/hyperlink" Target="https://zakon.rada.gov.ua/laws/show/z0958-25" TargetMode="External"/><Relationship Id="rId21" Type="http://schemas.openxmlformats.org/officeDocument/2006/relationships/hyperlink" Target="https://zakon.rada.gov.ua/laws/show/z0585-26" TargetMode="External"/><Relationship Id="rId34" Type="http://schemas.openxmlformats.org/officeDocument/2006/relationships/hyperlink" Target="https://zakon.rada.gov.ua/laws/show/996-14" TargetMode="External"/><Relationship Id="rId42" Type="http://schemas.openxmlformats.org/officeDocument/2006/relationships/theme" Target="theme/theme1.xml"/><Relationship Id="rId7" Type="http://schemas.openxmlformats.org/officeDocument/2006/relationships/hyperlink" Target="https://zakon.rada.gov.ua/laws/show/845-2023-%D0%BF" TargetMode="External"/><Relationship Id="rId2" Type="http://schemas.openxmlformats.org/officeDocument/2006/relationships/styles" Target="styles.xml"/><Relationship Id="rId16" Type="http://schemas.openxmlformats.org/officeDocument/2006/relationships/hyperlink" Target="https://zakon.rada.gov.ua/laws/show/845-2023-%D0%BF" TargetMode="External"/><Relationship Id="rId20" Type="http://schemas.openxmlformats.org/officeDocument/2006/relationships/hyperlink" Target="https://zakon.rada.gov.ua/laws/show/996-14" TargetMode="External"/><Relationship Id="rId29" Type="http://schemas.openxmlformats.org/officeDocument/2006/relationships/hyperlink" Target="https://zakon.rada.gov.ua/laws/show/z0585-2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448/96-%D0%B2%D1%80" TargetMode="External"/><Relationship Id="rId11" Type="http://schemas.openxmlformats.org/officeDocument/2006/relationships/hyperlink" Target="https://zakon.rada.gov.ua/laws/show/3480-15" TargetMode="External"/><Relationship Id="rId24" Type="http://schemas.openxmlformats.org/officeDocument/2006/relationships/hyperlink" Target="https://zakon.rada.gov.ua/laws/show/2258-19" TargetMode="External"/><Relationship Id="rId32" Type="http://schemas.openxmlformats.org/officeDocument/2006/relationships/hyperlink" Target="https://zakon.rada.gov.ua/laws/show/z0585-26" TargetMode="External"/><Relationship Id="rId37" Type="http://schemas.openxmlformats.org/officeDocument/2006/relationships/hyperlink" Target="https://zakon.rada.gov.ua/laws/show/z0958-25" TargetMode="External"/><Relationship Id="rId40" Type="http://schemas.openxmlformats.org/officeDocument/2006/relationships/hyperlink" Target="https://zakon.rada.gov.ua/laws/show/z0585-26" TargetMode="External"/><Relationship Id="rId5" Type="http://schemas.openxmlformats.org/officeDocument/2006/relationships/hyperlink" Target="https://zakon.rada.gov.ua/laws/show/z0585-26" TargetMode="External"/><Relationship Id="rId15" Type="http://schemas.openxmlformats.org/officeDocument/2006/relationships/hyperlink" Target="https://zakon.rada.gov.ua/laws/show/2155-19" TargetMode="External"/><Relationship Id="rId23" Type="http://schemas.openxmlformats.org/officeDocument/2006/relationships/hyperlink" Target="https://zakon.rada.gov.ua/laws/show/z0585-26" TargetMode="External"/><Relationship Id="rId28" Type="http://schemas.openxmlformats.org/officeDocument/2006/relationships/hyperlink" Target="https://zakon.rada.gov.ua/laws/show/z0585-26" TargetMode="External"/><Relationship Id="rId36" Type="http://schemas.openxmlformats.org/officeDocument/2006/relationships/hyperlink" Target="https://zakon.rada.gov.ua/laws/show/z0585-26" TargetMode="External"/><Relationship Id="rId10" Type="http://schemas.openxmlformats.org/officeDocument/2006/relationships/hyperlink" Target="https://zakon.rada.gov.ua/laws/show/z0585-26" TargetMode="External"/><Relationship Id="rId19" Type="http://schemas.openxmlformats.org/officeDocument/2006/relationships/hyperlink" Target="https://zakon.rada.gov.ua/laws/show/z0958-25" TargetMode="External"/><Relationship Id="rId31" Type="http://schemas.openxmlformats.org/officeDocument/2006/relationships/hyperlink" Target="https://zakon.rada.gov.ua/laws/show/z0958-25" TargetMode="External"/><Relationship Id="rId4" Type="http://schemas.openxmlformats.org/officeDocument/2006/relationships/webSettings" Target="webSettings.xml"/><Relationship Id="rId9" Type="http://schemas.openxmlformats.org/officeDocument/2006/relationships/hyperlink" Target="https://zakon.rada.gov.ua/laws/show/z0958-25" TargetMode="External"/><Relationship Id="rId14" Type="http://schemas.openxmlformats.org/officeDocument/2006/relationships/hyperlink" Target="https://zakon.rada.gov.ua/laws/show/755-15" TargetMode="External"/><Relationship Id="rId22" Type="http://schemas.openxmlformats.org/officeDocument/2006/relationships/hyperlink" Target="https://zakon.rada.gov.ua/laws/show/419-2000-%D0%BF" TargetMode="External"/><Relationship Id="rId27" Type="http://schemas.openxmlformats.org/officeDocument/2006/relationships/hyperlink" Target="https://zakon.rada.gov.ua/laws/show/z0585-26" TargetMode="External"/><Relationship Id="rId30" Type="http://schemas.openxmlformats.org/officeDocument/2006/relationships/hyperlink" Target="https://zakon.rada.gov.ua/laws/show/z0585-26" TargetMode="External"/><Relationship Id="rId35" Type="http://schemas.openxmlformats.org/officeDocument/2006/relationships/hyperlink" Target="https://zakon.rada.gov.ua/laws/show/419-2000-%D0%BF" TargetMode="External"/><Relationship Id="rId8" Type="http://schemas.openxmlformats.org/officeDocument/2006/relationships/hyperlink" Target="https://zakon.rada.gov.ua/laws/show/845-2023-%D0%BF" TargetMode="External"/><Relationship Id="rId3" Type="http://schemas.openxmlformats.org/officeDocument/2006/relationships/settings" Target="settings.xml"/><Relationship Id="rId12" Type="http://schemas.openxmlformats.org/officeDocument/2006/relationships/hyperlink" Target="https://zakon.rada.gov.ua/laws/show/996-14" TargetMode="External"/><Relationship Id="rId17" Type="http://schemas.openxmlformats.org/officeDocument/2006/relationships/hyperlink" Target="https://zakon.rada.gov.ua/laws/show/419-2000-%D0%BF" TargetMode="External"/><Relationship Id="rId25" Type="http://schemas.openxmlformats.org/officeDocument/2006/relationships/hyperlink" Target="https://zakon.rada.gov.ua/laws/show/996-14" TargetMode="External"/><Relationship Id="rId33" Type="http://schemas.openxmlformats.org/officeDocument/2006/relationships/hyperlink" Target="https://zakon.rada.gov.ua/laws/show/996-14" TargetMode="External"/><Relationship Id="rId38" Type="http://schemas.openxmlformats.org/officeDocument/2006/relationships/hyperlink" Target="https://zakon.rada.gov.ua/laws/show/z0585-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23626</Words>
  <Characters>13467</Characters>
  <Application>Microsoft Office Word</Application>
  <DocSecurity>0</DocSecurity>
  <Lines>112</Lines>
  <Paragraphs>74</Paragraphs>
  <ScaleCrop>false</ScaleCrop>
  <Company/>
  <LinksUpToDate>false</LinksUpToDate>
  <CharactersWithSpaces>37019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zelenetska</dc:creator>
  <cp:keywords/>
  <dc:description/>
  <cp:lastModifiedBy>Sergiy Kutsy</cp:lastModifiedBy>
  <cp:revision>2</cp:revision>
  <dcterms:created xsi:type="dcterms:W3CDTF">2026-05-11T15:40:00Z</dcterms:created>
  <dcterms:modified xsi:type="dcterms:W3CDTF">2026-05-11T15:40:00Z</dcterms:modified>
</cp:coreProperties>
</file>