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49"/>
      </w:tblGrid>
      <w:tr w:rsidR="00574948" w:rsidRPr="00574948" w14:paraId="7C3AE9E8" w14:textId="77777777">
        <w:tc>
          <w:tcPr>
            <w:tcW w:w="12135" w:type="dxa"/>
            <w:tcBorders>
              <w:top w:val="single" w:sz="2" w:space="0" w:color="auto"/>
              <w:left w:val="single" w:sz="2" w:space="0" w:color="auto"/>
              <w:bottom w:val="single" w:sz="2" w:space="0" w:color="auto"/>
              <w:right w:val="single" w:sz="2" w:space="0" w:color="auto"/>
            </w:tcBorders>
            <w:hideMark/>
          </w:tcPr>
          <w:p w14:paraId="10BEA133" w14:textId="77777777" w:rsidR="00574948" w:rsidRPr="00574948" w:rsidRDefault="00574948" w:rsidP="00574948">
            <w:r w:rsidRPr="00574948">
              <w:rPr>
                <w:b/>
                <w:bCs/>
              </w:rPr>
              <w:t>НАЦІОНАЛЬНА КОМІСІЯ З ЦІННИХ ПАПЕРІВ ТА ФОНДОВОГО РИНКУ</w:t>
            </w:r>
          </w:p>
        </w:tc>
      </w:tr>
      <w:tr w:rsidR="00574948" w:rsidRPr="00574948" w14:paraId="6EC3EF3A" w14:textId="77777777">
        <w:tc>
          <w:tcPr>
            <w:tcW w:w="12135" w:type="dxa"/>
            <w:tcBorders>
              <w:top w:val="single" w:sz="2" w:space="0" w:color="auto"/>
              <w:left w:val="single" w:sz="2" w:space="0" w:color="auto"/>
              <w:bottom w:val="single" w:sz="2" w:space="0" w:color="auto"/>
              <w:right w:val="single" w:sz="2" w:space="0" w:color="auto"/>
            </w:tcBorders>
            <w:hideMark/>
          </w:tcPr>
          <w:p w14:paraId="7B2C54F3" w14:textId="77777777" w:rsidR="00574948" w:rsidRPr="00574948" w:rsidRDefault="00574948" w:rsidP="00574948">
            <w:r w:rsidRPr="00574948">
              <w:rPr>
                <w:b/>
                <w:bCs/>
              </w:rPr>
              <w:t>РІШЕННЯ</w:t>
            </w:r>
          </w:p>
        </w:tc>
      </w:tr>
      <w:tr w:rsidR="00574948" w:rsidRPr="00574948" w14:paraId="18439D4E" w14:textId="77777777">
        <w:tc>
          <w:tcPr>
            <w:tcW w:w="12135" w:type="dxa"/>
            <w:tcBorders>
              <w:top w:val="single" w:sz="2" w:space="0" w:color="auto"/>
              <w:left w:val="single" w:sz="2" w:space="0" w:color="auto"/>
              <w:bottom w:val="single" w:sz="2" w:space="0" w:color="auto"/>
              <w:right w:val="single" w:sz="2" w:space="0" w:color="auto"/>
            </w:tcBorders>
            <w:hideMark/>
          </w:tcPr>
          <w:p w14:paraId="6DBD7522" w14:textId="77777777" w:rsidR="00574948" w:rsidRPr="00574948" w:rsidRDefault="00574948" w:rsidP="00574948">
            <w:r w:rsidRPr="00574948">
              <w:rPr>
                <w:b/>
                <w:bCs/>
              </w:rPr>
              <w:t>29.01.2026  № 09/21/3601/К03</w:t>
            </w:r>
          </w:p>
        </w:tc>
      </w:tr>
    </w:tbl>
    <w:p w14:paraId="74F667DD" w14:textId="77777777" w:rsidR="00574948" w:rsidRPr="00574948" w:rsidRDefault="00574948" w:rsidP="00574948">
      <w:pPr>
        <w:rPr>
          <w:vanish/>
        </w:rPr>
      </w:pPr>
      <w:bookmarkStart w:id="0" w:name="n3"/>
      <w:bookmarkEnd w:id="0"/>
    </w:p>
    <w:tbl>
      <w:tblPr>
        <w:tblW w:w="5000" w:type="pct"/>
        <w:tblCellMar>
          <w:left w:w="0" w:type="dxa"/>
          <w:right w:w="0" w:type="dxa"/>
        </w:tblCellMar>
        <w:tblLook w:val="04A0" w:firstRow="1" w:lastRow="0" w:firstColumn="1" w:lastColumn="0" w:noHBand="0" w:noVBand="1"/>
      </w:tblPr>
      <w:tblGrid>
        <w:gridCol w:w="5609"/>
        <w:gridCol w:w="3740"/>
      </w:tblGrid>
      <w:tr w:rsidR="00574948" w:rsidRPr="00574948" w14:paraId="39C32E48" w14:textId="77777777">
        <w:tc>
          <w:tcPr>
            <w:tcW w:w="3000" w:type="pct"/>
            <w:tcBorders>
              <w:top w:val="single" w:sz="2" w:space="0" w:color="auto"/>
              <w:left w:val="single" w:sz="2" w:space="0" w:color="auto"/>
              <w:bottom w:val="single" w:sz="2" w:space="0" w:color="auto"/>
              <w:right w:val="single" w:sz="2" w:space="0" w:color="auto"/>
            </w:tcBorders>
            <w:hideMark/>
          </w:tcPr>
          <w:p w14:paraId="2BFB81C5" w14:textId="77777777" w:rsidR="00574948" w:rsidRPr="00574948" w:rsidRDefault="00574948" w:rsidP="00574948">
            <w:r w:rsidRPr="00574948">
              <w:rPr>
                <w:b/>
                <w:bCs/>
              </w:rPr>
              <w:br/>
            </w:r>
          </w:p>
        </w:tc>
        <w:tc>
          <w:tcPr>
            <w:tcW w:w="2000" w:type="pct"/>
            <w:tcBorders>
              <w:top w:val="single" w:sz="2" w:space="0" w:color="auto"/>
              <w:left w:val="single" w:sz="2" w:space="0" w:color="auto"/>
              <w:bottom w:val="single" w:sz="2" w:space="0" w:color="auto"/>
              <w:right w:val="single" w:sz="2" w:space="0" w:color="auto"/>
            </w:tcBorders>
            <w:hideMark/>
          </w:tcPr>
          <w:p w14:paraId="6AAE3F66" w14:textId="77777777" w:rsidR="00574948" w:rsidRPr="00574948" w:rsidRDefault="00574948" w:rsidP="00574948">
            <w:r w:rsidRPr="00574948">
              <w:rPr>
                <w:b/>
                <w:bCs/>
              </w:rPr>
              <w:t>Зареєстровано в Міністерстві</w:t>
            </w:r>
            <w:r w:rsidRPr="00574948">
              <w:br/>
            </w:r>
            <w:r w:rsidRPr="00574948">
              <w:rPr>
                <w:b/>
                <w:bCs/>
              </w:rPr>
              <w:t>юстиції України</w:t>
            </w:r>
            <w:r w:rsidRPr="00574948">
              <w:br/>
            </w:r>
            <w:r w:rsidRPr="00574948">
              <w:rPr>
                <w:b/>
                <w:bCs/>
              </w:rPr>
              <w:t>11 лютого 2026 року</w:t>
            </w:r>
            <w:r w:rsidRPr="00574948">
              <w:br/>
            </w:r>
            <w:r w:rsidRPr="00574948">
              <w:rPr>
                <w:b/>
                <w:bCs/>
              </w:rPr>
              <w:t>за № 196/45590</w:t>
            </w:r>
          </w:p>
        </w:tc>
      </w:tr>
    </w:tbl>
    <w:p w14:paraId="0FD34E29" w14:textId="77777777" w:rsidR="00574948" w:rsidRPr="00574948" w:rsidRDefault="00574948" w:rsidP="00574948">
      <w:bookmarkStart w:id="1" w:name="n4"/>
      <w:bookmarkEnd w:id="1"/>
      <w:r w:rsidRPr="00574948">
        <w:rPr>
          <w:b/>
          <w:bCs/>
        </w:rPr>
        <w:t>Про затвердження Змін до деяких нормативно-правових актів Національної комісії з цінних паперів та фондового ринку щодо подання фінансової звітності</w:t>
      </w:r>
    </w:p>
    <w:p w14:paraId="386A31BE" w14:textId="77777777" w:rsidR="00574948" w:rsidRPr="00574948" w:rsidRDefault="00574948" w:rsidP="00574948">
      <w:bookmarkStart w:id="2" w:name="n5"/>
      <w:bookmarkEnd w:id="2"/>
      <w:r w:rsidRPr="00574948">
        <w:t>Відповідно до </w:t>
      </w:r>
      <w:hyperlink r:id="rId4" w:anchor="n951" w:tgtFrame="_blank" w:history="1">
        <w:r w:rsidRPr="00574948">
          <w:rPr>
            <w:rStyle w:val="ae"/>
          </w:rPr>
          <w:t>пункту 1</w:t>
        </w:r>
      </w:hyperlink>
      <w:r w:rsidRPr="00574948">
        <w:t> частини першої статті 7, </w:t>
      </w:r>
      <w:hyperlink r:id="rId5" w:anchor="n1481" w:tgtFrame="_blank" w:history="1">
        <w:r w:rsidRPr="00574948">
          <w:rPr>
            <w:rStyle w:val="ae"/>
          </w:rPr>
          <w:t>статті 30</w:t>
        </w:r>
      </w:hyperlink>
      <w:r w:rsidRPr="00574948">
        <w:t> Закону України «Про державне регулювання ринків капіталу та організованих товарних ринків» Національна комісія з цінних паперів та фондового ринку</w:t>
      </w:r>
      <w:r w:rsidRPr="00574948">
        <w:br/>
      </w:r>
      <w:r w:rsidRPr="00574948">
        <w:br/>
      </w:r>
      <w:r w:rsidRPr="00574948">
        <w:rPr>
          <w:b/>
          <w:bCs/>
        </w:rPr>
        <w:t>ВИРІШИЛА:</w:t>
      </w:r>
    </w:p>
    <w:p w14:paraId="5D031E5D" w14:textId="77777777" w:rsidR="00574948" w:rsidRPr="00574948" w:rsidRDefault="00574948" w:rsidP="00574948">
      <w:bookmarkStart w:id="3" w:name="n6"/>
      <w:bookmarkEnd w:id="3"/>
      <w:r w:rsidRPr="00574948">
        <w:t>1. Затвердити Зміни до деяких нормативно-правових актів Національної комісії з цінних паперів та фондового ринку щодо подання фінансової звітності, що </w:t>
      </w:r>
      <w:hyperlink r:id="rId6" w:anchor="n15" w:history="1">
        <w:r w:rsidRPr="00574948">
          <w:rPr>
            <w:rStyle w:val="ae"/>
          </w:rPr>
          <w:t>додаються</w:t>
        </w:r>
      </w:hyperlink>
      <w:r w:rsidRPr="00574948">
        <w:t>.</w:t>
      </w:r>
    </w:p>
    <w:p w14:paraId="5BB0B58B" w14:textId="77777777" w:rsidR="00574948" w:rsidRPr="00574948" w:rsidRDefault="00574948" w:rsidP="00574948">
      <w:bookmarkStart w:id="4" w:name="n7"/>
      <w:bookmarkEnd w:id="4"/>
      <w:r w:rsidRPr="00574948">
        <w:t>2. Департаменту методології забезпечити подання цього рішення на державну реєстрацію до Міністерства юстиції України.</w:t>
      </w:r>
    </w:p>
    <w:p w14:paraId="25317495" w14:textId="77777777" w:rsidR="00574948" w:rsidRPr="00574948" w:rsidRDefault="00574948" w:rsidP="00574948">
      <w:bookmarkStart w:id="5" w:name="n8"/>
      <w:bookmarkEnd w:id="5"/>
      <w:r w:rsidRPr="00574948">
        <w:t>3. Управлінню адміністративної діяльності забезпечити оприлюднення цього рішення на офіційному вебсайті Національної комісії з цінних паперів та фондового ринку.</w:t>
      </w:r>
    </w:p>
    <w:p w14:paraId="75523EDC" w14:textId="77777777" w:rsidR="00574948" w:rsidRPr="00574948" w:rsidRDefault="00574948" w:rsidP="00574948">
      <w:bookmarkStart w:id="6" w:name="n9"/>
      <w:bookmarkEnd w:id="6"/>
      <w:r w:rsidRPr="00574948">
        <w:t>4. Департаменту правового розвитку, після державної реєстрації рішення Міністерством юстиції України, забезпечити опублікування цього рішення на офіційному вебсайті Національної комісії з цінних паперів та фондового ринку.</w:t>
      </w:r>
    </w:p>
    <w:p w14:paraId="6F4269BE" w14:textId="77777777" w:rsidR="00574948" w:rsidRPr="00574948" w:rsidRDefault="00574948" w:rsidP="00574948">
      <w:bookmarkStart w:id="7" w:name="n10"/>
      <w:bookmarkEnd w:id="7"/>
      <w:r w:rsidRPr="00574948">
        <w:t>5. Це рішення набирає чинності з 01 березня 2026 року, але не раніше дня, наступного за днем його офіційного опублікування.</w:t>
      </w:r>
    </w:p>
    <w:p w14:paraId="61DF868C" w14:textId="77777777" w:rsidR="00574948" w:rsidRPr="00574948" w:rsidRDefault="00574948" w:rsidP="00574948">
      <w:bookmarkStart w:id="8" w:name="n11"/>
      <w:bookmarkEnd w:id="8"/>
      <w:r w:rsidRPr="00574948">
        <w:t>6. Контроль за виконанням цього рішення покласти на члена Національної комісії з цінних паперів та фондового ринку Ю. Шаповала.</w:t>
      </w:r>
    </w:p>
    <w:tbl>
      <w:tblPr>
        <w:tblW w:w="5000" w:type="pct"/>
        <w:tblCellMar>
          <w:left w:w="0" w:type="dxa"/>
          <w:right w:w="0" w:type="dxa"/>
        </w:tblCellMar>
        <w:tblLook w:val="04A0" w:firstRow="1" w:lastRow="0" w:firstColumn="1" w:lastColumn="0" w:noHBand="0" w:noVBand="1"/>
      </w:tblPr>
      <w:tblGrid>
        <w:gridCol w:w="5142"/>
        <w:gridCol w:w="4207"/>
      </w:tblGrid>
      <w:tr w:rsidR="00574948" w:rsidRPr="00574948" w14:paraId="710A0C8C" w14:textId="77777777">
        <w:trPr>
          <w:trHeight w:val="420"/>
        </w:trPr>
        <w:tc>
          <w:tcPr>
            <w:tcW w:w="2750" w:type="pct"/>
            <w:tcBorders>
              <w:top w:val="single" w:sz="2" w:space="0" w:color="auto"/>
              <w:left w:val="single" w:sz="2" w:space="0" w:color="auto"/>
              <w:bottom w:val="single" w:sz="2" w:space="0" w:color="auto"/>
              <w:right w:val="single" w:sz="2" w:space="0" w:color="auto"/>
            </w:tcBorders>
            <w:hideMark/>
          </w:tcPr>
          <w:p w14:paraId="573991AF" w14:textId="77777777" w:rsidR="00574948" w:rsidRPr="00574948" w:rsidRDefault="00574948" w:rsidP="00574948">
            <w:bookmarkStart w:id="9" w:name="n12"/>
            <w:bookmarkEnd w:id="9"/>
            <w:r w:rsidRPr="00574948">
              <w:rPr>
                <w:b/>
                <w:bCs/>
              </w:rPr>
              <w:t>Голова Комісії</w:t>
            </w:r>
          </w:p>
        </w:tc>
        <w:tc>
          <w:tcPr>
            <w:tcW w:w="2250" w:type="pct"/>
            <w:tcBorders>
              <w:top w:val="single" w:sz="2" w:space="0" w:color="auto"/>
              <w:left w:val="single" w:sz="2" w:space="0" w:color="auto"/>
              <w:bottom w:val="single" w:sz="2" w:space="0" w:color="auto"/>
              <w:right w:val="single" w:sz="2" w:space="0" w:color="auto"/>
            </w:tcBorders>
            <w:hideMark/>
          </w:tcPr>
          <w:p w14:paraId="5696C4D5" w14:textId="77777777" w:rsidR="00574948" w:rsidRPr="00574948" w:rsidRDefault="00574948" w:rsidP="00574948">
            <w:r w:rsidRPr="00574948">
              <w:rPr>
                <w:b/>
                <w:bCs/>
              </w:rPr>
              <w:t>Олексій СЕМЕНЮК</w:t>
            </w:r>
          </w:p>
        </w:tc>
      </w:tr>
    </w:tbl>
    <w:p w14:paraId="299049A7" w14:textId="77777777" w:rsidR="00574948" w:rsidRPr="00574948" w:rsidRDefault="00574948" w:rsidP="00574948">
      <w:bookmarkStart w:id="10" w:name="n13"/>
      <w:bookmarkEnd w:id="10"/>
      <w:r w:rsidRPr="00574948">
        <w:t>Протокол засідання Комісії</w:t>
      </w:r>
      <w:r w:rsidRPr="00574948">
        <w:br/>
        <w:t>від 29.01.2026 р. № 5</w:t>
      </w:r>
    </w:p>
    <w:p w14:paraId="1F6649A3" w14:textId="77777777" w:rsidR="00574948" w:rsidRPr="00574948" w:rsidRDefault="00000000" w:rsidP="00574948">
      <w:r>
        <w:pict w14:anchorId="1FC9834B">
          <v:rect id="_x0000_i1025" style="width:0;height:0" o:hrstd="t" o:hrnoshade="t" o:hr="t" fillcolor="black" stroked="f"/>
        </w:pict>
      </w:r>
    </w:p>
    <w:p w14:paraId="3223AE02" w14:textId="77777777" w:rsidR="00574948" w:rsidRPr="00574948" w:rsidRDefault="00574948" w:rsidP="00574948">
      <w:bookmarkStart w:id="11" w:name="n59"/>
      <w:bookmarkEnd w:id="11"/>
      <w:r w:rsidRPr="00574948">
        <w:br/>
      </w:r>
    </w:p>
    <w:tbl>
      <w:tblPr>
        <w:tblW w:w="5000" w:type="pct"/>
        <w:tblCellMar>
          <w:left w:w="0" w:type="dxa"/>
          <w:right w:w="0" w:type="dxa"/>
        </w:tblCellMar>
        <w:tblLook w:val="04A0" w:firstRow="1" w:lastRow="0" w:firstColumn="1" w:lastColumn="0" w:noHBand="0" w:noVBand="1"/>
      </w:tblPr>
      <w:tblGrid>
        <w:gridCol w:w="5609"/>
        <w:gridCol w:w="3740"/>
      </w:tblGrid>
      <w:tr w:rsidR="00574948" w:rsidRPr="00574948" w14:paraId="754B8690" w14:textId="77777777">
        <w:tc>
          <w:tcPr>
            <w:tcW w:w="3000" w:type="pct"/>
            <w:tcBorders>
              <w:top w:val="single" w:sz="2" w:space="0" w:color="auto"/>
              <w:left w:val="single" w:sz="2" w:space="0" w:color="auto"/>
              <w:bottom w:val="single" w:sz="2" w:space="0" w:color="auto"/>
              <w:right w:val="single" w:sz="2" w:space="0" w:color="auto"/>
            </w:tcBorders>
            <w:hideMark/>
          </w:tcPr>
          <w:p w14:paraId="1DD75A9F" w14:textId="77777777" w:rsidR="00574948" w:rsidRPr="00574948" w:rsidRDefault="00574948" w:rsidP="00574948">
            <w:bookmarkStart w:id="12" w:name="n14"/>
            <w:bookmarkEnd w:id="12"/>
            <w:r w:rsidRPr="00574948">
              <w:rPr>
                <w:b/>
                <w:bCs/>
              </w:rPr>
              <w:br/>
            </w:r>
          </w:p>
        </w:tc>
        <w:tc>
          <w:tcPr>
            <w:tcW w:w="2000" w:type="pct"/>
            <w:tcBorders>
              <w:top w:val="single" w:sz="2" w:space="0" w:color="auto"/>
              <w:left w:val="single" w:sz="2" w:space="0" w:color="auto"/>
              <w:bottom w:val="single" w:sz="2" w:space="0" w:color="auto"/>
              <w:right w:val="single" w:sz="2" w:space="0" w:color="auto"/>
            </w:tcBorders>
            <w:hideMark/>
          </w:tcPr>
          <w:p w14:paraId="69BC3BB5" w14:textId="77777777" w:rsidR="00574948" w:rsidRPr="00574948" w:rsidRDefault="00574948" w:rsidP="00574948">
            <w:r w:rsidRPr="00574948">
              <w:rPr>
                <w:b/>
                <w:bCs/>
              </w:rPr>
              <w:t>ЗАТВЕРДЖЕНО</w:t>
            </w:r>
            <w:r w:rsidRPr="00574948">
              <w:br/>
            </w:r>
            <w:r w:rsidRPr="00574948">
              <w:rPr>
                <w:b/>
                <w:bCs/>
              </w:rPr>
              <w:t>Рішення Національної комісії</w:t>
            </w:r>
            <w:r w:rsidRPr="00574948">
              <w:br/>
            </w:r>
            <w:r w:rsidRPr="00574948">
              <w:rPr>
                <w:b/>
                <w:bCs/>
              </w:rPr>
              <w:t>з цінних паперів</w:t>
            </w:r>
            <w:r w:rsidRPr="00574948">
              <w:br/>
            </w:r>
            <w:r w:rsidRPr="00574948">
              <w:rPr>
                <w:b/>
                <w:bCs/>
              </w:rPr>
              <w:t>та фондового ринку</w:t>
            </w:r>
            <w:r w:rsidRPr="00574948">
              <w:br/>
            </w:r>
            <w:r w:rsidRPr="00574948">
              <w:rPr>
                <w:b/>
                <w:bCs/>
              </w:rPr>
              <w:t>29 січня 2026 року</w:t>
            </w:r>
            <w:r w:rsidRPr="00574948">
              <w:br/>
            </w:r>
            <w:r w:rsidRPr="00574948">
              <w:rPr>
                <w:b/>
                <w:bCs/>
              </w:rPr>
              <w:t>№ 09/21/3601/К03</w:t>
            </w:r>
            <w:r w:rsidRPr="00574948">
              <w:br/>
            </w:r>
            <w:r w:rsidRPr="00574948">
              <w:rPr>
                <w:b/>
                <w:bCs/>
              </w:rPr>
              <w:br/>
            </w:r>
          </w:p>
        </w:tc>
      </w:tr>
    </w:tbl>
    <w:p w14:paraId="6D762D28" w14:textId="77777777" w:rsidR="00574948" w:rsidRPr="00574948" w:rsidRDefault="00574948" w:rsidP="00574948">
      <w:pPr>
        <w:rPr>
          <w:vanish/>
        </w:rPr>
      </w:pPr>
      <w:bookmarkStart w:id="13" w:name="n63"/>
      <w:bookmarkEnd w:id="13"/>
    </w:p>
    <w:tbl>
      <w:tblPr>
        <w:tblW w:w="5000" w:type="pct"/>
        <w:tblCellMar>
          <w:left w:w="0" w:type="dxa"/>
          <w:right w:w="0" w:type="dxa"/>
        </w:tblCellMar>
        <w:tblLook w:val="04A0" w:firstRow="1" w:lastRow="0" w:firstColumn="1" w:lastColumn="0" w:noHBand="0" w:noVBand="1"/>
      </w:tblPr>
      <w:tblGrid>
        <w:gridCol w:w="5609"/>
        <w:gridCol w:w="3740"/>
      </w:tblGrid>
      <w:tr w:rsidR="00574948" w:rsidRPr="00574948" w14:paraId="10DA120C" w14:textId="77777777">
        <w:tc>
          <w:tcPr>
            <w:tcW w:w="3000" w:type="pct"/>
            <w:tcBorders>
              <w:top w:val="single" w:sz="2" w:space="0" w:color="auto"/>
              <w:left w:val="single" w:sz="2" w:space="0" w:color="auto"/>
              <w:bottom w:val="single" w:sz="2" w:space="0" w:color="auto"/>
              <w:right w:val="single" w:sz="2" w:space="0" w:color="auto"/>
            </w:tcBorders>
            <w:hideMark/>
          </w:tcPr>
          <w:p w14:paraId="69AF58A1" w14:textId="77777777" w:rsidR="00574948" w:rsidRPr="00574948" w:rsidRDefault="00574948" w:rsidP="00574948">
            <w:r w:rsidRPr="00574948">
              <w:rPr>
                <w:b/>
                <w:bCs/>
              </w:rPr>
              <w:lastRenderedPageBreak/>
              <w:br/>
            </w:r>
          </w:p>
        </w:tc>
        <w:tc>
          <w:tcPr>
            <w:tcW w:w="2000" w:type="pct"/>
            <w:tcBorders>
              <w:top w:val="single" w:sz="2" w:space="0" w:color="auto"/>
              <w:left w:val="single" w:sz="2" w:space="0" w:color="auto"/>
              <w:bottom w:val="single" w:sz="2" w:space="0" w:color="auto"/>
              <w:right w:val="single" w:sz="2" w:space="0" w:color="auto"/>
            </w:tcBorders>
            <w:hideMark/>
          </w:tcPr>
          <w:p w14:paraId="06E8177F" w14:textId="77777777" w:rsidR="00574948" w:rsidRPr="00574948" w:rsidRDefault="00574948" w:rsidP="00574948">
            <w:r w:rsidRPr="00574948">
              <w:rPr>
                <w:b/>
                <w:bCs/>
              </w:rPr>
              <w:t>Зареєстровано в Міністерстві</w:t>
            </w:r>
            <w:r w:rsidRPr="00574948">
              <w:br/>
            </w:r>
            <w:r w:rsidRPr="00574948">
              <w:rPr>
                <w:b/>
                <w:bCs/>
              </w:rPr>
              <w:t>юстиції України</w:t>
            </w:r>
            <w:r w:rsidRPr="00574948">
              <w:br/>
            </w:r>
            <w:r w:rsidRPr="00574948">
              <w:rPr>
                <w:b/>
                <w:bCs/>
              </w:rPr>
              <w:t>11 лютого 2026 року</w:t>
            </w:r>
            <w:r w:rsidRPr="00574948">
              <w:br/>
            </w:r>
            <w:r w:rsidRPr="00574948">
              <w:rPr>
                <w:b/>
                <w:bCs/>
              </w:rPr>
              <w:t>за № 196/45590</w:t>
            </w:r>
          </w:p>
        </w:tc>
      </w:tr>
    </w:tbl>
    <w:p w14:paraId="18F2FE99" w14:textId="77777777" w:rsidR="00574948" w:rsidRPr="00574948" w:rsidRDefault="00574948" w:rsidP="00574948">
      <w:bookmarkStart w:id="14" w:name="n15"/>
      <w:bookmarkEnd w:id="14"/>
      <w:r w:rsidRPr="00574948">
        <w:rPr>
          <w:b/>
          <w:bCs/>
        </w:rPr>
        <w:t>Зміни</w:t>
      </w:r>
      <w:r w:rsidRPr="00574948">
        <w:br/>
      </w:r>
      <w:r w:rsidRPr="00574948">
        <w:rPr>
          <w:b/>
          <w:bCs/>
        </w:rPr>
        <w:t>до деяких нормативно-правових актів Національної комісії з цінних паперів та фондового ринку щодо подання фінансової звітності</w:t>
      </w:r>
    </w:p>
    <w:p w14:paraId="3D1DFBD0" w14:textId="77777777" w:rsidR="00574948" w:rsidRPr="00574948" w:rsidRDefault="00574948" w:rsidP="00574948">
      <w:bookmarkStart w:id="15" w:name="n16"/>
      <w:bookmarkEnd w:id="15"/>
      <w:r w:rsidRPr="00574948">
        <w:t>1. У </w:t>
      </w:r>
      <w:hyperlink r:id="rId7" w:anchor="n16" w:tgtFrame="_blank" w:history="1">
        <w:r w:rsidRPr="00574948">
          <w:rPr>
            <w:rStyle w:val="ae"/>
          </w:rPr>
          <w:t>Положенні про порядок реєстрації проспекту емісії та випуску інвестиційних сертифікатів пайового інвестиційного фонду</w:t>
        </w:r>
      </w:hyperlink>
      <w:r w:rsidRPr="00574948">
        <w:t>, затвердженому рішенням Національної комісії з цінних паперів та фондового ринку від 20 червня 2013 року № 1103, зареєстрованому в Міністерстві юстиції України 16 липня 2013 року за № 1188/23720:</w:t>
      </w:r>
    </w:p>
    <w:p w14:paraId="4252384C" w14:textId="77777777" w:rsidR="00574948" w:rsidRPr="00574948" w:rsidRDefault="00574948" w:rsidP="00574948">
      <w:bookmarkStart w:id="16" w:name="n17"/>
      <w:bookmarkEnd w:id="16"/>
      <w:r w:rsidRPr="00574948">
        <w:t>1) у </w:t>
      </w:r>
      <w:hyperlink r:id="rId8" w:anchor="n367" w:tgtFrame="_blank" w:history="1">
        <w:r w:rsidRPr="00574948">
          <w:rPr>
            <w:rStyle w:val="ae"/>
          </w:rPr>
          <w:t>розділі І</w:t>
        </w:r>
      </w:hyperlink>
      <w:r w:rsidRPr="00574948">
        <w:t>:</w:t>
      </w:r>
    </w:p>
    <w:p w14:paraId="67469E5D" w14:textId="77777777" w:rsidR="00574948" w:rsidRPr="00574948" w:rsidRDefault="00574948" w:rsidP="00574948">
      <w:bookmarkStart w:id="17" w:name="n18"/>
      <w:bookmarkEnd w:id="17"/>
      <w:r w:rsidRPr="00574948">
        <w:t>у </w:t>
      </w:r>
      <w:hyperlink r:id="rId9" w:anchor="n381" w:tgtFrame="_blank" w:history="1">
        <w:r w:rsidRPr="00574948">
          <w:rPr>
            <w:rStyle w:val="ae"/>
          </w:rPr>
          <w:t>пункті 11</w:t>
        </w:r>
      </w:hyperlink>
      <w:r w:rsidRPr="00574948">
        <w:t>:</w:t>
      </w:r>
    </w:p>
    <w:p w14:paraId="1B363F10" w14:textId="77777777" w:rsidR="00574948" w:rsidRPr="00574948" w:rsidRDefault="00574948" w:rsidP="00574948">
      <w:bookmarkStart w:id="18" w:name="n19"/>
      <w:bookmarkEnd w:id="18"/>
      <w:r w:rsidRPr="00574948">
        <w:t>в абзаці першому слова «(для банків – Національним банком України)» виключити;</w:t>
      </w:r>
    </w:p>
    <w:p w14:paraId="0B1E0429" w14:textId="77777777" w:rsidR="00574948" w:rsidRPr="00574948" w:rsidRDefault="00574948" w:rsidP="00574948">
      <w:bookmarkStart w:id="19" w:name="n20"/>
      <w:bookmarkEnd w:id="19"/>
      <w:r w:rsidRPr="00574948">
        <w:t>абзац четвертий викласти у такій редакції:</w:t>
      </w:r>
    </w:p>
    <w:p w14:paraId="199246FA" w14:textId="77777777" w:rsidR="00574948" w:rsidRPr="00574948" w:rsidRDefault="00574948" w:rsidP="00574948">
      <w:bookmarkStart w:id="20" w:name="n21"/>
      <w:bookmarkEnd w:id="20"/>
      <w:r w:rsidRPr="00574948">
        <w:t>«звіт щодо огляду проміжної фінансової звітності, який подається разом з проміжною фінансовою звітністю у випадках, передбачених цим Положенням.»;</w:t>
      </w:r>
    </w:p>
    <w:p w14:paraId="1BB9B37F" w14:textId="77777777" w:rsidR="00574948" w:rsidRPr="00574948" w:rsidRDefault="00574948" w:rsidP="00574948">
      <w:bookmarkStart w:id="21" w:name="n22"/>
      <w:bookmarkEnd w:id="21"/>
      <w:r w:rsidRPr="00574948">
        <w:t>у </w:t>
      </w:r>
      <w:hyperlink r:id="rId10" w:anchor="n384" w:tgtFrame="_blank" w:history="1">
        <w:r w:rsidRPr="00574948">
          <w:rPr>
            <w:rStyle w:val="ae"/>
          </w:rPr>
          <w:t>пункті 12</w:t>
        </w:r>
      </w:hyperlink>
      <w:r w:rsidRPr="00574948">
        <w:t>:</w:t>
      </w:r>
    </w:p>
    <w:p w14:paraId="3E27DE56" w14:textId="77777777" w:rsidR="00574948" w:rsidRPr="00574948" w:rsidRDefault="00574948" w:rsidP="00574948">
      <w:bookmarkStart w:id="22" w:name="n23"/>
      <w:bookmarkEnd w:id="22"/>
      <w:r w:rsidRPr="00574948">
        <w:t>абзац перший після слів «заяви та документів» доповнити словами «(крім електронного файлу фінансової звітності, складеної  на основі таксономії фінансової звітності за міжнародними стандартами в єдиному електронному форматі XBRL)»;</w:t>
      </w:r>
    </w:p>
    <w:p w14:paraId="1A8962DC" w14:textId="77777777" w:rsidR="00574948" w:rsidRPr="00574948" w:rsidRDefault="00574948" w:rsidP="00574948">
      <w:bookmarkStart w:id="23" w:name="n24"/>
      <w:bookmarkEnd w:id="23"/>
      <w:r w:rsidRPr="00574948">
        <w:t>абзац другий після слів «передбачено цим Положенням» доповнити словами «(крім електронного файлу фінансової звітності, складеної  на основі таксономії фінансової звітності за міжнародними стандартами в єдиному електронному форматі XBRL)»;</w:t>
      </w:r>
    </w:p>
    <w:p w14:paraId="23A24EB1" w14:textId="77777777" w:rsidR="00574948" w:rsidRPr="00574948" w:rsidRDefault="00574948" w:rsidP="00574948">
      <w:bookmarkStart w:id="24" w:name="n25"/>
      <w:bookmarkEnd w:id="24"/>
      <w:r w:rsidRPr="00574948">
        <w:t>2) </w:t>
      </w:r>
      <w:hyperlink r:id="rId11" w:anchor="n504" w:tgtFrame="_blank" w:history="1">
        <w:r w:rsidRPr="00574948">
          <w:rPr>
            <w:rStyle w:val="ae"/>
          </w:rPr>
          <w:t>підпункт 8</w:t>
        </w:r>
      </w:hyperlink>
      <w:r w:rsidRPr="00574948">
        <w:t> пункту 4 розділу ІІІ викласти у редакції:</w:t>
      </w:r>
    </w:p>
    <w:p w14:paraId="24B19BB1" w14:textId="77777777" w:rsidR="00574948" w:rsidRPr="00574948" w:rsidRDefault="00574948" w:rsidP="00574948">
      <w:bookmarkStart w:id="25" w:name="n26"/>
      <w:bookmarkEnd w:id="25"/>
      <w:r w:rsidRPr="00574948">
        <w:t>«8) інформацію про подання фінансової звітності (річної та/або проміжної), складеної відповідно до вимог пункту 11 розділу I цього Положення, разом із аудиторським звітом та/або звітом щодо огляду проміжної фінансової звітності до центру збору фінансової звітності (подається у разі внесення змін до проспекту емісії інвестиційних сертифікатів пайового фонду, пов'язаних з другою та кожною наступною емісією інвестиційних сертифікатів).</w:t>
      </w:r>
    </w:p>
    <w:p w14:paraId="4CAEA267" w14:textId="77777777" w:rsidR="00574948" w:rsidRPr="00574948" w:rsidRDefault="00574948" w:rsidP="00574948">
      <w:bookmarkStart w:id="26" w:name="n27"/>
      <w:bookmarkEnd w:id="26"/>
      <w:r w:rsidRPr="00574948">
        <w:t>Зазначена проміжна фінансова звітність пайового фонду повинна бути складена станом на останню звітну дату перед поданням документів до НКЦПФР;»</w:t>
      </w:r>
    </w:p>
    <w:p w14:paraId="62991FBC" w14:textId="77777777" w:rsidR="00574948" w:rsidRPr="00574948" w:rsidRDefault="00574948" w:rsidP="00574948">
      <w:bookmarkStart w:id="27" w:name="n28"/>
      <w:bookmarkEnd w:id="27"/>
      <w:r w:rsidRPr="00574948">
        <w:t>2. У </w:t>
      </w:r>
      <w:hyperlink r:id="rId12" w:anchor="n16" w:tgtFrame="_blank" w:history="1">
        <w:r w:rsidRPr="00574948">
          <w:rPr>
            <w:rStyle w:val="ae"/>
          </w:rPr>
          <w:t>Положенні про порядок реєстрації проспекту емісії та випуску акцій корпоративного інвестиційного фонду</w:t>
        </w:r>
      </w:hyperlink>
      <w:r w:rsidRPr="00574948">
        <w:t>, затвердженому рішенням Національної комісії з цінних паперів та фондового ринку від 20 червня 2013 року № 1104, зареєстрованому в Міністерстві юстиції України 16 липня 2013 року за № 1187/23719:</w:t>
      </w:r>
    </w:p>
    <w:p w14:paraId="276352BB" w14:textId="77777777" w:rsidR="00574948" w:rsidRPr="00574948" w:rsidRDefault="00574948" w:rsidP="00574948">
      <w:bookmarkStart w:id="28" w:name="n29"/>
      <w:bookmarkEnd w:id="28"/>
      <w:r w:rsidRPr="00574948">
        <w:t>1) у </w:t>
      </w:r>
      <w:hyperlink r:id="rId13" w:anchor="n492" w:tgtFrame="_blank" w:history="1">
        <w:r w:rsidRPr="00574948">
          <w:rPr>
            <w:rStyle w:val="ae"/>
          </w:rPr>
          <w:t>розділі I</w:t>
        </w:r>
      </w:hyperlink>
      <w:r w:rsidRPr="00574948">
        <w:t>:</w:t>
      </w:r>
    </w:p>
    <w:p w14:paraId="286984D6" w14:textId="77777777" w:rsidR="00574948" w:rsidRPr="00574948" w:rsidRDefault="00574948" w:rsidP="00574948">
      <w:bookmarkStart w:id="29" w:name="n30"/>
      <w:bookmarkEnd w:id="29"/>
      <w:r w:rsidRPr="00574948">
        <w:t>доповнити новим пунктом такого змісту:</w:t>
      </w:r>
    </w:p>
    <w:p w14:paraId="7319C25B" w14:textId="77777777" w:rsidR="00574948" w:rsidRPr="00574948" w:rsidRDefault="00574948" w:rsidP="00574948">
      <w:bookmarkStart w:id="30" w:name="n31"/>
      <w:bookmarkEnd w:id="30"/>
      <w:r w:rsidRPr="00574948">
        <w:t>«1</w:t>
      </w:r>
      <w:r w:rsidRPr="00574948">
        <w:rPr>
          <w:b/>
          <w:bCs/>
          <w:vertAlign w:val="superscript"/>
        </w:rPr>
        <w:t>-1</w:t>
      </w:r>
      <w:r w:rsidRPr="00574948">
        <w:t>. У цьому Положенні терміни вживаються в такому значенні:</w:t>
      </w:r>
    </w:p>
    <w:p w14:paraId="3E421B3D" w14:textId="77777777" w:rsidR="00574948" w:rsidRPr="00574948" w:rsidRDefault="00574948" w:rsidP="00574948">
      <w:bookmarkStart w:id="31" w:name="n32"/>
      <w:bookmarkEnd w:id="31"/>
      <w:r w:rsidRPr="00574948">
        <w:t>1) заявник – особа, яка подає документи, передбачені цим Положенням до НКЦПФР:</w:t>
      </w:r>
    </w:p>
    <w:p w14:paraId="091BC882" w14:textId="77777777" w:rsidR="00574948" w:rsidRPr="00574948" w:rsidRDefault="00574948" w:rsidP="00574948">
      <w:bookmarkStart w:id="32" w:name="n33"/>
      <w:bookmarkEnd w:id="32"/>
      <w:r w:rsidRPr="00574948">
        <w:lastRenderedPageBreak/>
        <w:t>засновник, у випадку якщо одноосібним засновником є фізична особа;</w:t>
      </w:r>
    </w:p>
    <w:p w14:paraId="09E7D26F" w14:textId="77777777" w:rsidR="00574948" w:rsidRPr="00574948" w:rsidRDefault="00574948" w:rsidP="00574948">
      <w:bookmarkStart w:id="33" w:name="n34"/>
      <w:bookmarkEnd w:id="33"/>
      <w:r w:rsidRPr="00574948">
        <w:t>засновник або уповноважена засновником(ками) особа, у випадку якщо засновником(ками) є юридична особа;</w:t>
      </w:r>
    </w:p>
    <w:p w14:paraId="1D80B070" w14:textId="77777777" w:rsidR="00574948" w:rsidRPr="00574948" w:rsidRDefault="00574948" w:rsidP="00574948">
      <w:bookmarkStart w:id="34" w:name="n35"/>
      <w:bookmarkEnd w:id="34"/>
      <w:r w:rsidRPr="00574948">
        <w:t>особа, визначена / уповноважена засновником(ками) або уповноваженими особами засновника(ів), якій надаються повноваження здійснювати дії, пов’язані зі створенням корпоративного фонду та укладенням з Центральним депозитарієм цінних паперів договору про обслуговування емісії акцій корпоративного фонду;</w:t>
      </w:r>
    </w:p>
    <w:p w14:paraId="6CFD706F" w14:textId="77777777" w:rsidR="00574948" w:rsidRPr="00574948" w:rsidRDefault="00574948" w:rsidP="00574948">
      <w:bookmarkStart w:id="35" w:name="n36"/>
      <w:bookmarkEnd w:id="35"/>
      <w:r w:rsidRPr="00574948">
        <w:t>компанія з управління активами;</w:t>
      </w:r>
    </w:p>
    <w:p w14:paraId="51CF318F" w14:textId="77777777" w:rsidR="00574948" w:rsidRPr="00574948" w:rsidRDefault="00574948" w:rsidP="00574948">
      <w:bookmarkStart w:id="36" w:name="n37"/>
      <w:bookmarkEnd w:id="36"/>
      <w:r w:rsidRPr="00574948">
        <w:t>2) зберігач – депозитарна установа, що має ліцензію на провадження діяльності із зберігання активів інституту спільного інвестування, видану НКЦПФР (для корпоративного фонду з публічним розміщенням – депозитарна установа – банк, що має ліцензію на провадження діяльності із зберігання активів інституту спільного інвестування, видану НКЦПФР, та з якою в установленому законодавством порядку укладений договір про обслуговування зберігачем активів інституту спільного інвестування).»;</w:t>
      </w:r>
    </w:p>
    <w:p w14:paraId="14AD0FB2" w14:textId="77777777" w:rsidR="00574948" w:rsidRPr="00574948" w:rsidRDefault="00574948" w:rsidP="00574948">
      <w:bookmarkStart w:id="37" w:name="n38"/>
      <w:bookmarkEnd w:id="37"/>
      <w:r w:rsidRPr="00574948">
        <w:t>у </w:t>
      </w:r>
      <w:hyperlink r:id="rId14" w:anchor="n500" w:tgtFrame="_blank" w:history="1">
        <w:r w:rsidRPr="00574948">
          <w:rPr>
            <w:rStyle w:val="ae"/>
          </w:rPr>
          <w:t>пункті 8</w:t>
        </w:r>
      </w:hyperlink>
      <w:r w:rsidRPr="00574948">
        <w:t> слово «Підпис» замінити словом «Підписання»;</w:t>
      </w:r>
    </w:p>
    <w:p w14:paraId="4E3FE3D9" w14:textId="77777777" w:rsidR="00574948" w:rsidRPr="00574948" w:rsidRDefault="00574948" w:rsidP="00574948">
      <w:bookmarkStart w:id="38" w:name="n39"/>
      <w:bookmarkEnd w:id="38"/>
      <w:r w:rsidRPr="00574948">
        <w:t>у </w:t>
      </w:r>
      <w:hyperlink r:id="rId15" w:anchor="n502" w:tgtFrame="_blank" w:history="1">
        <w:r w:rsidRPr="00574948">
          <w:rPr>
            <w:rStyle w:val="ae"/>
          </w:rPr>
          <w:t>пункті 9</w:t>
        </w:r>
      </w:hyperlink>
      <w:r w:rsidRPr="00574948">
        <w:t>:</w:t>
      </w:r>
    </w:p>
    <w:p w14:paraId="0414E0EA" w14:textId="77777777" w:rsidR="00574948" w:rsidRPr="00574948" w:rsidRDefault="00574948" w:rsidP="00574948">
      <w:bookmarkStart w:id="39" w:name="n40"/>
      <w:bookmarkEnd w:id="39"/>
      <w:r w:rsidRPr="00574948">
        <w:t>в абзаці першому слова «(для банків – Національним банком України)» виключити;</w:t>
      </w:r>
    </w:p>
    <w:p w14:paraId="300525C2" w14:textId="77777777" w:rsidR="00574948" w:rsidRPr="00574948" w:rsidRDefault="00574948" w:rsidP="00574948">
      <w:bookmarkStart w:id="40" w:name="n41"/>
      <w:bookmarkEnd w:id="40"/>
      <w:r w:rsidRPr="00574948">
        <w:t>абзац четвертий викласти у такій редакції:</w:t>
      </w:r>
    </w:p>
    <w:p w14:paraId="50865885" w14:textId="77777777" w:rsidR="00574948" w:rsidRPr="00574948" w:rsidRDefault="00574948" w:rsidP="00574948">
      <w:bookmarkStart w:id="41" w:name="n42"/>
      <w:bookmarkEnd w:id="41"/>
      <w:r w:rsidRPr="00574948">
        <w:t>«звіт щодо огляду проміжної фінансової звітності, який  подається разом з проміжною фінансовою звітністю у випадках, передбачених цим Положенням.»;</w:t>
      </w:r>
    </w:p>
    <w:p w14:paraId="4CFEC660" w14:textId="77777777" w:rsidR="00574948" w:rsidRPr="00574948" w:rsidRDefault="00574948" w:rsidP="00574948">
      <w:bookmarkStart w:id="42" w:name="n43"/>
      <w:bookmarkEnd w:id="42"/>
      <w:r w:rsidRPr="00574948">
        <w:t>у </w:t>
      </w:r>
      <w:hyperlink r:id="rId16" w:anchor="n505" w:tgtFrame="_blank" w:history="1">
        <w:r w:rsidRPr="00574948">
          <w:rPr>
            <w:rStyle w:val="ae"/>
          </w:rPr>
          <w:t>пункті 10</w:t>
        </w:r>
      </w:hyperlink>
      <w:r w:rsidRPr="00574948">
        <w:t>:</w:t>
      </w:r>
    </w:p>
    <w:p w14:paraId="650D2578" w14:textId="77777777" w:rsidR="00574948" w:rsidRPr="00574948" w:rsidRDefault="00574948" w:rsidP="00574948">
      <w:bookmarkStart w:id="43" w:name="n44"/>
      <w:bookmarkEnd w:id="43"/>
      <w:r w:rsidRPr="00574948">
        <w:t>абзац перший після слів «заяви та документів» доповнити словами «(крім електронного файлу фінансової звітності, складеної на основі таксономії фінансової звітності за міжнародними стандартами в єдиному електронному форматі XBRL)»;</w:t>
      </w:r>
    </w:p>
    <w:p w14:paraId="44634935" w14:textId="77777777" w:rsidR="00574948" w:rsidRPr="00574948" w:rsidRDefault="00574948" w:rsidP="00574948">
      <w:bookmarkStart w:id="44" w:name="n45"/>
      <w:bookmarkEnd w:id="44"/>
      <w:r w:rsidRPr="00574948">
        <w:t>абзац другий після слів «передбачено цим Положенням» доповнити словами «(крім електронного файлу фінансової звітності, складеної на основі таксономії фінансової звітності за міжнародними стандартами в єдиному електронному форматі XBRL)»;</w:t>
      </w:r>
    </w:p>
    <w:bookmarkStart w:id="45" w:name="n46"/>
    <w:bookmarkEnd w:id="45"/>
    <w:p w14:paraId="2FFC3D36" w14:textId="77777777" w:rsidR="00574948" w:rsidRPr="00574948" w:rsidRDefault="00574948" w:rsidP="00574948">
      <w:r w:rsidRPr="00574948">
        <w:fldChar w:fldCharType="begin"/>
      </w:r>
      <w:r w:rsidRPr="00574948">
        <w:instrText>HYPERLINK "https://zakon.rada.gov.ua/laws/show/z1187-13" \l "n531" \t "_blank"</w:instrText>
      </w:r>
      <w:r w:rsidRPr="00574948">
        <w:fldChar w:fldCharType="separate"/>
      </w:r>
      <w:r w:rsidRPr="00574948">
        <w:rPr>
          <w:rStyle w:val="ae"/>
        </w:rPr>
        <w:t>пункт 19</w:t>
      </w:r>
      <w:r w:rsidRPr="00574948">
        <w:fldChar w:fldCharType="end"/>
      </w:r>
      <w:r w:rsidRPr="00574948">
        <w:t> виключити;</w:t>
      </w:r>
    </w:p>
    <w:p w14:paraId="7AC51AFA" w14:textId="77777777" w:rsidR="00574948" w:rsidRPr="00574948" w:rsidRDefault="00574948" w:rsidP="00574948">
      <w:bookmarkStart w:id="46" w:name="n47"/>
      <w:bookmarkEnd w:id="46"/>
      <w:r w:rsidRPr="00574948">
        <w:t>2) </w:t>
      </w:r>
      <w:hyperlink r:id="rId17" w:anchor="n561" w:tgtFrame="_blank" w:history="1">
        <w:r w:rsidRPr="00574948">
          <w:rPr>
            <w:rStyle w:val="ae"/>
          </w:rPr>
          <w:t>підпункт 4</w:t>
        </w:r>
      </w:hyperlink>
      <w:r w:rsidRPr="00574948">
        <w:t> пункту 3 розділу ІІ викласти у такій редакції:</w:t>
      </w:r>
    </w:p>
    <w:p w14:paraId="76A8EB44" w14:textId="77777777" w:rsidR="00574948" w:rsidRPr="00574948" w:rsidRDefault="00574948" w:rsidP="00574948">
      <w:bookmarkStart w:id="47" w:name="n48"/>
      <w:bookmarkEnd w:id="47"/>
      <w:r w:rsidRPr="00574948">
        <w:t>«4) фінансова звітність засновника - юридичної особи, складена згідно із застосованою концептуальною основою складання фінансової звітності, разом із звітом щодо огляду проміжної фінансової звітності, який підтверджує спроможність засновника сплатити відповідні внески до статутного капіталу корпоративного фонду.</w:t>
      </w:r>
    </w:p>
    <w:p w14:paraId="4956990C" w14:textId="77777777" w:rsidR="00574948" w:rsidRPr="00574948" w:rsidRDefault="00574948" w:rsidP="00574948">
      <w:bookmarkStart w:id="48" w:name="n49"/>
      <w:bookmarkEnd w:id="48"/>
      <w:r w:rsidRPr="00574948">
        <w:t>У разі складання засновником - юридичною особою резидентом фінансової звітності за міжнародними стандартами, надається інформація щодо подання такої фінансової звітності до центру збору фінансової звітності.</w:t>
      </w:r>
    </w:p>
    <w:p w14:paraId="1A3A3941" w14:textId="77777777" w:rsidR="00574948" w:rsidRPr="00574948" w:rsidRDefault="00574948" w:rsidP="00574948">
      <w:bookmarkStart w:id="49" w:name="n50"/>
      <w:bookmarkEnd w:id="49"/>
      <w:r w:rsidRPr="00574948">
        <w:t>Зазначена фінансова звітність повинна бути складена на дату прийняття рішення про створення корпоративного фонду.</w:t>
      </w:r>
    </w:p>
    <w:p w14:paraId="46B32890" w14:textId="77777777" w:rsidR="00574948" w:rsidRPr="00574948" w:rsidRDefault="00574948" w:rsidP="00574948">
      <w:bookmarkStart w:id="50" w:name="n51"/>
      <w:bookmarkEnd w:id="50"/>
      <w:r w:rsidRPr="00574948">
        <w:t>Подається щодо кожного засновника - юридичної особи;»;</w:t>
      </w:r>
    </w:p>
    <w:p w14:paraId="6227EDC2" w14:textId="77777777" w:rsidR="00574948" w:rsidRPr="00574948" w:rsidRDefault="00574948" w:rsidP="00574948">
      <w:bookmarkStart w:id="51" w:name="n52"/>
      <w:bookmarkEnd w:id="51"/>
      <w:r w:rsidRPr="00574948">
        <w:lastRenderedPageBreak/>
        <w:t>3) </w:t>
      </w:r>
      <w:hyperlink r:id="rId18" w:anchor="n592" w:tgtFrame="_blank" w:history="1">
        <w:r w:rsidRPr="00574948">
          <w:rPr>
            <w:rStyle w:val="ae"/>
          </w:rPr>
          <w:t>абзац перший</w:t>
        </w:r>
      </w:hyperlink>
      <w:r w:rsidRPr="00574948">
        <w:t> підпункту 8 пункту 2 розділу III викласти у такій редакції:</w:t>
      </w:r>
    </w:p>
    <w:p w14:paraId="30D91653" w14:textId="77777777" w:rsidR="00574948" w:rsidRPr="00574948" w:rsidRDefault="00574948" w:rsidP="00574948">
      <w:bookmarkStart w:id="52" w:name="n53"/>
      <w:bookmarkEnd w:id="52"/>
      <w:r w:rsidRPr="00574948">
        <w:t>«8) інформацію про подання проміжної фінансової звітності, складеної відповідно до вимог пункту 9 розділу І цього Положення, разом із звітом щодо огляду проміжної фінансової звітності до центру збору фінансової звітності.».</w:t>
      </w:r>
    </w:p>
    <w:p w14:paraId="133A48BE" w14:textId="77777777" w:rsidR="00574948" w:rsidRPr="00574948" w:rsidRDefault="00574948" w:rsidP="00574948">
      <w:bookmarkStart w:id="53" w:name="n54"/>
      <w:bookmarkEnd w:id="53"/>
      <w:r w:rsidRPr="00574948">
        <w:t>3. У </w:t>
      </w:r>
      <w:hyperlink r:id="rId19" w:anchor="n18" w:tgtFrame="_blank" w:history="1">
        <w:r w:rsidRPr="00574948">
          <w:rPr>
            <w:rStyle w:val="ae"/>
          </w:rPr>
          <w:t>Положенні про порядок розміщення, обігу та викупу цінних паперів інституту спільного інвестування</w:t>
        </w:r>
      </w:hyperlink>
      <w:r w:rsidRPr="00574948">
        <w:t>, затвердженому рішенням Національної комісії з цінних паперів та фондового ринку від 30 липня 2013 року № 1338, зареєстрованому в Міністерстві юстиції України 28 серпня 2013 року за № 1475/24007:</w:t>
      </w:r>
    </w:p>
    <w:p w14:paraId="3E056BA7" w14:textId="77777777" w:rsidR="00574948" w:rsidRPr="00574948" w:rsidRDefault="00574948" w:rsidP="00574948">
      <w:bookmarkStart w:id="54" w:name="n55"/>
      <w:bookmarkEnd w:id="54"/>
      <w:r w:rsidRPr="00574948">
        <w:t>1) </w:t>
      </w:r>
      <w:hyperlink r:id="rId20" w:anchor="n304" w:tgtFrame="_blank" w:history="1">
        <w:r w:rsidRPr="00574948">
          <w:rPr>
            <w:rStyle w:val="ae"/>
          </w:rPr>
          <w:t>абзац перший</w:t>
        </w:r>
      </w:hyperlink>
      <w:r w:rsidRPr="00574948">
        <w:t> пункту 5 розділу I після слів «Подання до НКЦПФР заявником» доповнити словами «(крім електронного файлу фінансової звітності, складеної  на основі таксономії фінансової звітності за міжнародними стандартами в єдиному електронному форматі XBRL)»;</w:t>
      </w:r>
    </w:p>
    <w:p w14:paraId="70FFBC35" w14:textId="77777777" w:rsidR="00574948" w:rsidRPr="00574948" w:rsidRDefault="00574948" w:rsidP="00574948">
      <w:bookmarkStart w:id="55" w:name="n56"/>
      <w:bookmarkEnd w:id="55"/>
      <w:r w:rsidRPr="00574948">
        <w:t>2) </w:t>
      </w:r>
      <w:hyperlink r:id="rId21" w:anchor="n72" w:tgtFrame="_blank" w:history="1">
        <w:r w:rsidRPr="00574948">
          <w:rPr>
            <w:rStyle w:val="ae"/>
          </w:rPr>
          <w:t>абзац четвертий</w:t>
        </w:r>
      </w:hyperlink>
      <w:r w:rsidRPr="00574948">
        <w:t> пункту 4 розділу V викласти у такій редакції:</w:t>
      </w:r>
    </w:p>
    <w:p w14:paraId="1DE43597" w14:textId="77777777" w:rsidR="00574948" w:rsidRPr="00574948" w:rsidRDefault="00574948" w:rsidP="00574948">
      <w:bookmarkStart w:id="56" w:name="n57"/>
      <w:bookmarkEnd w:id="56"/>
      <w:r w:rsidRPr="00574948">
        <w:t>«інформація про подання проміжної фінансової звітності до центру збору фінансової звітності, складеної відповідно до </w:t>
      </w:r>
      <w:hyperlink r:id="rId22" w:tgtFrame="_blank" w:history="1">
        <w:r w:rsidRPr="00574948">
          <w:rPr>
            <w:rStyle w:val="ae"/>
          </w:rPr>
          <w:t>Закону України</w:t>
        </w:r>
      </w:hyperlink>
      <w:r w:rsidRPr="00574948">
        <w:t>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XBRL та поданої до центру збору фінансової звітності, у порядку, встановленому Кабінетом Міністрів України. Зазначена проміжна фінансова звітність пайового фонду має бути складена на дату Звіту;».                                   </w:t>
      </w:r>
    </w:p>
    <w:tbl>
      <w:tblPr>
        <w:tblW w:w="5000" w:type="pct"/>
        <w:tblCellMar>
          <w:left w:w="0" w:type="dxa"/>
          <w:right w:w="0" w:type="dxa"/>
        </w:tblCellMar>
        <w:tblLook w:val="04A0" w:firstRow="1" w:lastRow="0" w:firstColumn="1" w:lastColumn="0" w:noHBand="0" w:noVBand="1"/>
      </w:tblPr>
      <w:tblGrid>
        <w:gridCol w:w="5142"/>
        <w:gridCol w:w="4207"/>
      </w:tblGrid>
      <w:tr w:rsidR="00574948" w:rsidRPr="00574948" w14:paraId="6154C560" w14:textId="77777777">
        <w:trPr>
          <w:trHeight w:val="420"/>
        </w:trPr>
        <w:tc>
          <w:tcPr>
            <w:tcW w:w="2750" w:type="pct"/>
            <w:tcBorders>
              <w:top w:val="single" w:sz="2" w:space="0" w:color="auto"/>
              <w:left w:val="single" w:sz="2" w:space="0" w:color="auto"/>
              <w:bottom w:val="single" w:sz="2" w:space="0" w:color="auto"/>
              <w:right w:val="single" w:sz="2" w:space="0" w:color="auto"/>
            </w:tcBorders>
            <w:hideMark/>
          </w:tcPr>
          <w:p w14:paraId="56E8B0E7" w14:textId="77777777" w:rsidR="00574948" w:rsidRPr="00574948" w:rsidRDefault="00574948" w:rsidP="00574948">
            <w:bookmarkStart w:id="57" w:name="n58"/>
            <w:bookmarkEnd w:id="57"/>
            <w:r w:rsidRPr="00574948">
              <w:rPr>
                <w:b/>
                <w:bCs/>
              </w:rPr>
              <w:t>Директор департаменту методології</w:t>
            </w:r>
          </w:p>
        </w:tc>
        <w:tc>
          <w:tcPr>
            <w:tcW w:w="2250" w:type="pct"/>
            <w:tcBorders>
              <w:top w:val="single" w:sz="2" w:space="0" w:color="auto"/>
              <w:left w:val="single" w:sz="2" w:space="0" w:color="auto"/>
              <w:bottom w:val="single" w:sz="2" w:space="0" w:color="auto"/>
              <w:right w:val="single" w:sz="2" w:space="0" w:color="auto"/>
            </w:tcBorders>
            <w:hideMark/>
          </w:tcPr>
          <w:p w14:paraId="37D77FF6" w14:textId="77777777" w:rsidR="00574948" w:rsidRPr="00574948" w:rsidRDefault="00574948" w:rsidP="00574948">
            <w:r w:rsidRPr="00574948">
              <w:rPr>
                <w:b/>
                <w:bCs/>
              </w:rPr>
              <w:t>Максим ТИМОХІН</w:t>
            </w:r>
          </w:p>
        </w:tc>
      </w:tr>
    </w:tbl>
    <w:p w14:paraId="47456467" w14:textId="77777777" w:rsidR="009B333C" w:rsidRDefault="009B333C"/>
    <w:sectPr w:rsidR="009B3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48"/>
    <w:rsid w:val="00011C47"/>
    <w:rsid w:val="000A250B"/>
    <w:rsid w:val="00297348"/>
    <w:rsid w:val="00574948"/>
    <w:rsid w:val="009847BD"/>
    <w:rsid w:val="009B333C"/>
    <w:rsid w:val="00E37F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74AC1-AAE8-44B1-9036-C7588852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73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73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73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73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73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73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73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73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73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3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73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73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73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73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73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7348"/>
    <w:rPr>
      <w:rFonts w:eastAsiaTheme="majorEastAsia" w:cstheme="majorBidi"/>
      <w:color w:val="595959" w:themeColor="text1" w:themeTint="A6"/>
    </w:rPr>
  </w:style>
  <w:style w:type="character" w:customStyle="1" w:styleId="80">
    <w:name w:val="Заголовок 8 Знак"/>
    <w:basedOn w:val="a0"/>
    <w:link w:val="8"/>
    <w:uiPriority w:val="9"/>
    <w:semiHidden/>
    <w:rsid w:val="002973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7348"/>
    <w:rPr>
      <w:rFonts w:eastAsiaTheme="majorEastAsia" w:cstheme="majorBidi"/>
      <w:color w:val="272727" w:themeColor="text1" w:themeTint="D8"/>
    </w:rPr>
  </w:style>
  <w:style w:type="paragraph" w:styleId="a3">
    <w:name w:val="Title"/>
    <w:basedOn w:val="a"/>
    <w:next w:val="a"/>
    <w:link w:val="a4"/>
    <w:uiPriority w:val="10"/>
    <w:qFormat/>
    <w:rsid w:val="00297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97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34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973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97348"/>
    <w:pPr>
      <w:spacing w:before="160"/>
      <w:jc w:val="center"/>
    </w:pPr>
    <w:rPr>
      <w:i/>
      <w:iCs/>
      <w:color w:val="404040" w:themeColor="text1" w:themeTint="BF"/>
    </w:rPr>
  </w:style>
  <w:style w:type="character" w:customStyle="1" w:styleId="a8">
    <w:name w:val="Цитата Знак"/>
    <w:basedOn w:val="a0"/>
    <w:link w:val="a7"/>
    <w:uiPriority w:val="29"/>
    <w:rsid w:val="00297348"/>
    <w:rPr>
      <w:i/>
      <w:iCs/>
      <w:color w:val="404040" w:themeColor="text1" w:themeTint="BF"/>
    </w:rPr>
  </w:style>
  <w:style w:type="paragraph" w:styleId="a9">
    <w:name w:val="List Paragraph"/>
    <w:basedOn w:val="a"/>
    <w:uiPriority w:val="34"/>
    <w:qFormat/>
    <w:rsid w:val="00297348"/>
    <w:pPr>
      <w:ind w:left="720"/>
      <w:contextualSpacing/>
    </w:pPr>
  </w:style>
  <w:style w:type="character" w:styleId="aa">
    <w:name w:val="Intense Emphasis"/>
    <w:basedOn w:val="a0"/>
    <w:uiPriority w:val="21"/>
    <w:qFormat/>
    <w:rsid w:val="00297348"/>
    <w:rPr>
      <w:i/>
      <w:iCs/>
      <w:color w:val="2F5496" w:themeColor="accent1" w:themeShade="BF"/>
    </w:rPr>
  </w:style>
  <w:style w:type="paragraph" w:styleId="ab">
    <w:name w:val="Intense Quote"/>
    <w:basedOn w:val="a"/>
    <w:next w:val="a"/>
    <w:link w:val="ac"/>
    <w:uiPriority w:val="30"/>
    <w:qFormat/>
    <w:rsid w:val="00297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97348"/>
    <w:rPr>
      <w:i/>
      <w:iCs/>
      <w:color w:val="2F5496" w:themeColor="accent1" w:themeShade="BF"/>
    </w:rPr>
  </w:style>
  <w:style w:type="character" w:styleId="ad">
    <w:name w:val="Intense Reference"/>
    <w:basedOn w:val="a0"/>
    <w:uiPriority w:val="32"/>
    <w:qFormat/>
    <w:rsid w:val="00297348"/>
    <w:rPr>
      <w:b/>
      <w:bCs/>
      <w:smallCaps/>
      <w:color w:val="2F5496" w:themeColor="accent1" w:themeShade="BF"/>
      <w:spacing w:val="5"/>
    </w:rPr>
  </w:style>
  <w:style w:type="character" w:styleId="ae">
    <w:name w:val="Hyperlink"/>
    <w:basedOn w:val="a0"/>
    <w:uiPriority w:val="99"/>
    <w:unhideWhenUsed/>
    <w:rsid w:val="00574948"/>
    <w:rPr>
      <w:color w:val="0563C1" w:themeColor="hyperlink"/>
      <w:u w:val="single"/>
    </w:rPr>
  </w:style>
  <w:style w:type="character" w:styleId="af">
    <w:name w:val="Unresolved Mention"/>
    <w:basedOn w:val="a0"/>
    <w:uiPriority w:val="99"/>
    <w:semiHidden/>
    <w:unhideWhenUsed/>
    <w:rsid w:val="00574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88-13" TargetMode="External"/><Relationship Id="rId13" Type="http://schemas.openxmlformats.org/officeDocument/2006/relationships/hyperlink" Target="https://zakon.rada.gov.ua/laws/show/z1187-13" TargetMode="External"/><Relationship Id="rId18" Type="http://schemas.openxmlformats.org/officeDocument/2006/relationships/hyperlink" Target="https://zakon.rada.gov.ua/laws/show/z1187-13" TargetMode="External"/><Relationship Id="rId3" Type="http://schemas.openxmlformats.org/officeDocument/2006/relationships/webSettings" Target="webSettings.xml"/><Relationship Id="rId21" Type="http://schemas.openxmlformats.org/officeDocument/2006/relationships/hyperlink" Target="https://zakon.rada.gov.ua/laws/show/z1475-13" TargetMode="External"/><Relationship Id="rId7" Type="http://schemas.openxmlformats.org/officeDocument/2006/relationships/hyperlink" Target="https://zakon.rada.gov.ua/laws/show/z1188-13" TargetMode="External"/><Relationship Id="rId12" Type="http://schemas.openxmlformats.org/officeDocument/2006/relationships/hyperlink" Target="https://zakon.rada.gov.ua/laws/show/z1187-13" TargetMode="External"/><Relationship Id="rId17" Type="http://schemas.openxmlformats.org/officeDocument/2006/relationships/hyperlink" Target="https://zakon.rada.gov.ua/laws/show/z1187-13" TargetMode="External"/><Relationship Id="rId2" Type="http://schemas.openxmlformats.org/officeDocument/2006/relationships/settings" Target="settings.xml"/><Relationship Id="rId16" Type="http://schemas.openxmlformats.org/officeDocument/2006/relationships/hyperlink" Target="https://zakon.rada.gov.ua/laws/show/z1187-13" TargetMode="External"/><Relationship Id="rId20" Type="http://schemas.openxmlformats.org/officeDocument/2006/relationships/hyperlink" Target="https://zakon.rada.gov.ua/laws/show/z1475-13" TargetMode="External"/><Relationship Id="rId1" Type="http://schemas.openxmlformats.org/officeDocument/2006/relationships/styles" Target="styles.xml"/><Relationship Id="rId6" Type="http://schemas.openxmlformats.org/officeDocument/2006/relationships/hyperlink" Target="https://zakon.rada.gov.ua/laws/show/z0196-26" TargetMode="External"/><Relationship Id="rId11" Type="http://schemas.openxmlformats.org/officeDocument/2006/relationships/hyperlink" Target="https://zakon.rada.gov.ua/laws/show/z1188-13" TargetMode="External"/><Relationship Id="rId24" Type="http://schemas.openxmlformats.org/officeDocument/2006/relationships/theme" Target="theme/theme1.xml"/><Relationship Id="rId5" Type="http://schemas.openxmlformats.org/officeDocument/2006/relationships/hyperlink" Target="https://zakon.rada.gov.ua/laws/show/448/96-%D0%B2%D1%80" TargetMode="External"/><Relationship Id="rId15" Type="http://schemas.openxmlformats.org/officeDocument/2006/relationships/hyperlink" Target="https://zakon.rada.gov.ua/laws/show/z1187-13" TargetMode="External"/><Relationship Id="rId23" Type="http://schemas.openxmlformats.org/officeDocument/2006/relationships/fontTable" Target="fontTable.xml"/><Relationship Id="rId10" Type="http://schemas.openxmlformats.org/officeDocument/2006/relationships/hyperlink" Target="https://zakon.rada.gov.ua/laws/show/z1188-13" TargetMode="External"/><Relationship Id="rId19" Type="http://schemas.openxmlformats.org/officeDocument/2006/relationships/hyperlink" Target="https://zakon.rada.gov.ua/laws/show/z1475-13" TargetMode="External"/><Relationship Id="rId4" Type="http://schemas.openxmlformats.org/officeDocument/2006/relationships/hyperlink" Target="https://zakon.rada.gov.ua/laws/show/448/96-%D0%B2%D1%80" TargetMode="External"/><Relationship Id="rId9" Type="http://schemas.openxmlformats.org/officeDocument/2006/relationships/hyperlink" Target="https://zakon.rada.gov.ua/laws/show/z1188-13" TargetMode="External"/><Relationship Id="rId14" Type="http://schemas.openxmlformats.org/officeDocument/2006/relationships/hyperlink" Target="https://zakon.rada.gov.ua/laws/show/z1187-13" TargetMode="External"/><Relationship Id="rId22" Type="http://schemas.openxmlformats.org/officeDocument/2006/relationships/hyperlink" Target="https://zakon.rada.gov.ua/laws/show/99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6264</Words>
  <Characters>3572</Characters>
  <Application>Microsoft Office Word</Application>
  <DocSecurity>0</DocSecurity>
  <Lines>29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zelenetska</dc:creator>
  <cp:keywords/>
  <dc:description/>
  <cp:lastModifiedBy>Sergiy Kutsy</cp:lastModifiedBy>
  <cp:revision>2</cp:revision>
  <dcterms:created xsi:type="dcterms:W3CDTF">2026-03-04T19:02:00Z</dcterms:created>
  <dcterms:modified xsi:type="dcterms:W3CDTF">2026-03-04T19:02:00Z</dcterms:modified>
</cp:coreProperties>
</file>